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67" w:rightChars="-32"/>
        <w:jc w:val="center"/>
        <w:rPr>
          <w:rFonts w:eastAsia="方正小标宋简体"/>
          <w:color w:val="000000"/>
          <w:sz w:val="44"/>
          <w:szCs w:val="44"/>
        </w:rPr>
      </w:pPr>
      <w:r>
        <w:rPr>
          <w:rFonts w:hint="eastAsia" w:eastAsia="方正小标宋简体"/>
          <w:color w:val="000000"/>
          <w:sz w:val="44"/>
          <w:szCs w:val="44"/>
        </w:rPr>
        <w:t>牙科喷砂粉</w:t>
      </w:r>
      <w:r>
        <w:rPr>
          <w:rFonts w:eastAsia="方正小标宋简体"/>
          <w:color w:val="000000"/>
          <w:sz w:val="44"/>
          <w:szCs w:val="44"/>
        </w:rPr>
        <w:t>注册</w:t>
      </w:r>
      <w:r>
        <w:rPr>
          <w:rFonts w:hint="eastAsia" w:eastAsia="方正小标宋简体"/>
          <w:color w:val="000000"/>
          <w:sz w:val="44"/>
          <w:szCs w:val="44"/>
        </w:rPr>
        <w:t>审查</w:t>
      </w:r>
      <w:r>
        <w:rPr>
          <w:rFonts w:eastAsia="方正小标宋简体"/>
          <w:color w:val="000000"/>
          <w:sz w:val="44"/>
          <w:szCs w:val="44"/>
        </w:rPr>
        <w:t>指导原则</w:t>
      </w:r>
    </w:p>
    <w:p>
      <w:pPr>
        <w:spacing w:line="360" w:lineRule="auto"/>
        <w:jc w:val="center"/>
        <w:rPr>
          <w:rFonts w:hint="eastAsia" w:ascii="仿宋_GB2312" w:eastAsia="仿宋_GB2312"/>
          <w:bCs/>
          <w:color w:val="000000"/>
          <w:sz w:val="32"/>
          <w:szCs w:val="32"/>
        </w:rPr>
      </w:pPr>
      <w:r>
        <w:rPr>
          <w:rFonts w:hint="eastAsia" w:ascii="仿宋_GB2312" w:eastAsia="仿宋_GB2312"/>
          <w:bCs/>
          <w:color w:val="000000"/>
          <w:sz w:val="32"/>
          <w:szCs w:val="32"/>
        </w:rPr>
        <w:t>（征求意见稿）</w:t>
      </w:r>
    </w:p>
    <w:p>
      <w:pPr>
        <w:spacing w:line="360" w:lineRule="auto"/>
        <w:ind w:right="-67" w:rightChars="-32"/>
        <w:jc w:val="center"/>
        <w:rPr>
          <w:rFonts w:eastAsia="方正小标宋简体"/>
          <w:color w:val="000000"/>
          <w:sz w:val="32"/>
          <w:szCs w:val="44"/>
        </w:rPr>
      </w:pPr>
    </w:p>
    <w:p>
      <w:pPr>
        <w:suppressAutoHyphens/>
        <w:spacing w:line="360" w:lineRule="auto"/>
        <w:ind w:firstLine="640" w:firstLineChars="200"/>
        <w:rPr>
          <w:rFonts w:hint="eastAsia" w:eastAsia="仿宋_GB2312"/>
          <w:color w:val="000000" w:themeColor="text1"/>
          <w:kern w:val="1"/>
          <w:sz w:val="32"/>
          <w:szCs w:val="28"/>
          <w:lang w:eastAsia="zh-CN"/>
          <w14:textFill>
            <w14:solidFill>
              <w14:schemeClr w14:val="tx1"/>
            </w14:solidFill>
          </w14:textFill>
        </w:rPr>
      </w:pPr>
      <w:r>
        <w:rPr>
          <w:rFonts w:hint="eastAsia" w:eastAsia="仿宋_GB2312"/>
          <w:color w:val="000000" w:themeColor="text1"/>
          <w:kern w:val="1"/>
          <w:sz w:val="32"/>
          <w:szCs w:val="28"/>
          <w14:textFill>
            <w14:solidFill>
              <w14:schemeClr w14:val="tx1"/>
            </w14:solidFill>
          </w14:textFill>
        </w:rPr>
        <w:t>本指导原则旨在指导注册申请人对牙科喷砂粉注册申报资料的准备及撰写，同时也为技术审评部门提供参考</w:t>
      </w:r>
      <w:r>
        <w:rPr>
          <w:rFonts w:hint="eastAsia" w:eastAsia="仿宋_GB2312"/>
          <w:color w:val="000000" w:themeColor="text1"/>
          <w:kern w:val="1"/>
          <w:sz w:val="32"/>
          <w:szCs w:val="28"/>
          <w:lang w:eastAsia="zh-CN"/>
          <w14:textFill>
            <w14:solidFill>
              <w14:schemeClr w14:val="tx1"/>
            </w14:solidFill>
          </w14:textFill>
        </w:rPr>
        <w:t>。</w:t>
      </w:r>
    </w:p>
    <w:p>
      <w:pPr>
        <w:suppressAutoHyphens/>
        <w:spacing w:line="360" w:lineRule="auto"/>
        <w:ind w:firstLine="640" w:firstLineChars="200"/>
        <w:rPr>
          <w:rFonts w:eastAsia="仿宋_GB2312"/>
          <w:color w:val="000000" w:themeColor="text1"/>
          <w:kern w:val="1"/>
          <w:sz w:val="32"/>
          <w:szCs w:val="28"/>
          <w14:textFill>
            <w14:solidFill>
              <w14:schemeClr w14:val="tx1"/>
            </w14:solidFill>
          </w14:textFill>
        </w:rPr>
      </w:pPr>
      <w:r>
        <w:rPr>
          <w:rFonts w:eastAsia="仿宋_GB2312"/>
          <w:color w:val="000000" w:themeColor="text1"/>
          <w:kern w:val="1"/>
          <w:sz w:val="32"/>
          <w:szCs w:val="28"/>
          <w14:textFill>
            <w14:solidFill>
              <w14:schemeClr w14:val="tx1"/>
            </w14:solidFill>
          </w14:textFill>
        </w:rPr>
        <w:t>本指导原则是对</w:t>
      </w:r>
      <w:r>
        <w:rPr>
          <w:rFonts w:hint="eastAsia" w:eastAsia="仿宋_GB2312"/>
          <w:color w:val="000000" w:themeColor="text1"/>
          <w:kern w:val="1"/>
          <w:sz w:val="32"/>
          <w:szCs w:val="28"/>
          <w14:textFill>
            <w14:solidFill>
              <w14:schemeClr w14:val="tx1"/>
            </w14:solidFill>
          </w14:textFill>
        </w:rPr>
        <w:t>牙科喷砂粉</w:t>
      </w:r>
      <w:r>
        <w:rPr>
          <w:rFonts w:eastAsia="仿宋_GB2312"/>
          <w:color w:val="000000" w:themeColor="text1"/>
          <w:kern w:val="1"/>
          <w:sz w:val="32"/>
          <w:szCs w:val="28"/>
          <w14:textFill>
            <w14:solidFill>
              <w14:schemeClr w14:val="tx1"/>
            </w14:solidFill>
          </w14:textFill>
        </w:rPr>
        <w:t>产品的一般要求，申请人应依据产品的具体特性确定其中内容是否适用，若不适用，需具体阐述理由及相应的科学依据，并依据产品的具体特性对注册申报资料的内容进行充实和细化。</w:t>
      </w:r>
    </w:p>
    <w:p>
      <w:pPr>
        <w:spacing w:line="360" w:lineRule="auto"/>
        <w:ind w:firstLine="640" w:firstLineChars="200"/>
        <w:rPr>
          <w:rFonts w:hint="eastAsia" w:eastAsia="仿宋_GB2312"/>
          <w:color w:val="000000"/>
          <w:sz w:val="32"/>
          <w:szCs w:val="32"/>
        </w:rPr>
      </w:pPr>
      <w:r>
        <w:rPr>
          <w:rFonts w:eastAsia="仿宋_GB2312"/>
          <w:color w:val="000000" w:themeColor="text1"/>
          <w:kern w:val="1"/>
          <w:sz w:val="32"/>
          <w:szCs w:val="28"/>
          <w14:textFill>
            <w14:solidFill>
              <w14:schemeClr w14:val="tx1"/>
            </w14:solidFill>
          </w14:textFill>
        </w:rPr>
        <w:t>本指导原则是供申请人和审查人员使用的指导文件，不涉及注册审批等行政事项，亦不作为法规强制执行，如有能够满足法规要求的其他方法，也可以采用，但应提供详细的研究资料和验证资料。应在遵循相关法规的前提下使用本指导原则</w:t>
      </w:r>
      <w:r>
        <w:rPr>
          <w:rFonts w:hint="eastAsia" w:eastAsia="仿宋_GB2312"/>
          <w:color w:val="000000" w:themeColor="text1"/>
          <w:kern w:val="1"/>
          <w:sz w:val="32"/>
          <w:szCs w:val="28"/>
          <w14:textFill>
            <w14:solidFill>
              <w14:schemeClr w14:val="tx1"/>
            </w14:solidFill>
          </w14:textFill>
        </w:rPr>
        <w:t>。</w:t>
      </w:r>
      <w:r>
        <w:rPr>
          <w:rFonts w:eastAsia="仿宋_GB2312"/>
          <w:color w:val="000000" w:themeColor="text1"/>
          <w:kern w:val="0"/>
          <w:sz w:val="32"/>
          <w14:textFill>
            <w14:solidFill>
              <w14:schemeClr w14:val="tx1"/>
            </w14:solidFill>
          </w14:textFill>
        </w:rPr>
        <w:t>本指导原则是在现行法规、标准体系及当前认知水平下制定的，随着法规、标准体系的不断完善和科学技术的不断发展，本指导原则相关内容也将适时进行调整。</w:t>
      </w:r>
      <w:r>
        <w:rPr>
          <w:rFonts w:hint="eastAsia" w:eastAsia="仿宋_GB2312"/>
          <w:color w:val="000000"/>
          <w:sz w:val="32"/>
          <w:szCs w:val="32"/>
        </w:rPr>
        <w:t>本指导原则中相关内容均应执行最新版本的标准。</w:t>
      </w:r>
    </w:p>
    <w:p>
      <w:pPr>
        <w:spacing w:line="360" w:lineRule="auto"/>
        <w:ind w:right="-67" w:rightChars="-32" w:firstLine="640" w:firstLineChars="200"/>
        <w:rPr>
          <w:rFonts w:eastAsia="黑体"/>
          <w:color w:val="000000"/>
          <w:sz w:val="32"/>
          <w:szCs w:val="32"/>
        </w:rPr>
      </w:pPr>
      <w:r>
        <w:rPr>
          <w:rFonts w:eastAsia="黑体"/>
          <w:color w:val="000000"/>
          <w:sz w:val="32"/>
          <w:szCs w:val="32"/>
        </w:rPr>
        <w:t>一、适用范围</w:t>
      </w:r>
    </w:p>
    <w:p>
      <w:pPr>
        <w:spacing w:line="360" w:lineRule="auto"/>
        <w:ind w:firstLine="640" w:firstLineChars="200"/>
        <w:jc w:val="left"/>
        <w:rPr>
          <w:rFonts w:eastAsia="仿宋_GB2312"/>
          <w:color w:val="000000" w:themeColor="text1"/>
          <w:sz w:val="32"/>
          <w:szCs w:val="32"/>
          <w14:textFill>
            <w14:solidFill>
              <w14:schemeClr w14:val="tx1"/>
            </w14:solidFill>
          </w14:textFill>
        </w:rPr>
      </w:pPr>
      <w:r>
        <w:rPr>
          <w:rFonts w:hint="eastAsia" w:eastAsia="仿宋_GB2312"/>
          <w:color w:val="000000"/>
          <w:sz w:val="32"/>
          <w:szCs w:val="32"/>
        </w:rPr>
        <w:t>本指导原则</w:t>
      </w:r>
      <w:r>
        <w:rPr>
          <w:rFonts w:hint="eastAsia" w:eastAsia="仿宋_GB2312"/>
          <w:color w:val="000000"/>
          <w:sz w:val="32"/>
          <w:szCs w:val="32"/>
          <w:lang w:val="en-US" w:eastAsia="zh-CN"/>
        </w:rPr>
        <w:t>适用于</w:t>
      </w:r>
      <w:r>
        <w:rPr>
          <w:rFonts w:hint="eastAsia" w:eastAsia="仿宋_GB2312"/>
          <w:color w:val="000000" w:themeColor="text1"/>
          <w:sz w:val="32"/>
          <w:szCs w:val="32"/>
          <w:lang w:val="en-US" w:eastAsia="zh-CN"/>
          <w14:textFill>
            <w14:solidFill>
              <w14:schemeClr w14:val="tx1"/>
            </w14:solidFill>
          </w14:textFill>
        </w:rPr>
        <w:t>牙科喷砂粉</w:t>
      </w:r>
      <w:r>
        <w:rPr>
          <w:rFonts w:eastAsia="仿宋_GB2312"/>
          <w:color w:val="000000" w:themeColor="text1"/>
          <w:sz w:val="32"/>
          <w:szCs w:val="32"/>
          <w14:textFill>
            <w14:solidFill>
              <w14:schemeClr w14:val="tx1"/>
            </w14:solidFill>
          </w14:textFill>
        </w:rPr>
        <w:t>，一般为</w:t>
      </w:r>
      <w:r>
        <w:rPr>
          <w:rFonts w:hint="eastAsia" w:eastAsia="仿宋_GB2312"/>
          <w:color w:val="000000" w:themeColor="text1"/>
          <w:sz w:val="32"/>
          <w:szCs w:val="32"/>
          <w:lang w:val="en-US" w:eastAsia="zh-CN"/>
          <w14:textFill>
            <w14:solidFill>
              <w14:schemeClr w14:val="tx1"/>
            </w14:solidFill>
          </w14:textFill>
        </w:rPr>
        <w:t>粉末状</w:t>
      </w:r>
      <w:r>
        <w:rPr>
          <w:rFonts w:eastAsia="仿宋_GB2312"/>
          <w:color w:val="000000" w:themeColor="text1"/>
          <w:sz w:val="32"/>
          <w:szCs w:val="32"/>
          <w14:textFill>
            <w14:solidFill>
              <w14:schemeClr w14:val="tx1"/>
            </w14:solidFill>
          </w14:textFill>
        </w:rPr>
        <w:t>。</w:t>
      </w:r>
      <w:r>
        <w:rPr>
          <w:rFonts w:eastAsia="仿宋_GB2312"/>
          <w:color w:val="000000" w:themeColor="text1"/>
          <w:kern w:val="0"/>
          <w:sz w:val="32"/>
          <w14:textFill>
            <w14:solidFill>
              <w14:schemeClr w14:val="tx1"/>
            </w14:solidFill>
          </w14:textFill>
        </w:rPr>
        <w:t>根据《医疗器械分类目录》（2017</w:t>
      </w:r>
      <w:r>
        <w:rPr>
          <w:rFonts w:hint="eastAsia" w:eastAsia="仿宋_GB2312"/>
          <w:color w:val="000000" w:themeColor="text1"/>
          <w:kern w:val="0"/>
          <w:sz w:val="32"/>
          <w14:textFill>
            <w14:solidFill>
              <w14:schemeClr w14:val="tx1"/>
            </w14:solidFill>
          </w14:textFill>
        </w:rPr>
        <w:t>年</w:t>
      </w:r>
      <w:r>
        <w:rPr>
          <w:rFonts w:eastAsia="仿宋_GB2312"/>
          <w:color w:val="000000" w:themeColor="text1"/>
          <w:kern w:val="0"/>
          <w:sz w:val="32"/>
          <w14:textFill>
            <w14:solidFill>
              <w14:schemeClr w14:val="tx1"/>
            </w14:solidFill>
          </w14:textFill>
        </w:rPr>
        <w:t>第104号）</w:t>
      </w:r>
      <w:r>
        <w:rPr>
          <w:rFonts w:hint="eastAsia" w:eastAsia="仿宋_GB2312"/>
          <w:color w:val="000000" w:themeColor="text1"/>
          <w:kern w:val="0"/>
          <w:sz w:val="32"/>
          <w:lang w:eastAsia="zh-CN"/>
          <w14:textFill>
            <w14:solidFill>
              <w14:schemeClr w14:val="tx1"/>
            </w14:solidFill>
          </w14:textFill>
        </w:rPr>
        <w:t>，</w:t>
      </w:r>
      <w:r>
        <w:rPr>
          <w:rFonts w:hint="eastAsia" w:eastAsia="仿宋_GB2312"/>
          <w:color w:val="000000"/>
          <w:sz w:val="32"/>
          <w:szCs w:val="32"/>
        </w:rPr>
        <w:t>牙科喷砂粉</w:t>
      </w:r>
      <w:bookmarkStart w:id="0" w:name="OLE_LINK3"/>
      <w:r>
        <w:rPr>
          <w:rFonts w:hint="eastAsia" w:eastAsia="仿宋_GB2312"/>
          <w:color w:val="000000"/>
          <w:sz w:val="32"/>
          <w:szCs w:val="32"/>
        </w:rPr>
        <w:t>管理类别为II类，分类编码为17-09-06（研磨抛光材料），</w:t>
      </w:r>
      <w:r>
        <w:rPr>
          <w:rFonts w:hint="eastAsia" w:eastAsia="仿宋_GB2312"/>
          <w:color w:val="000000" w:themeColor="text1"/>
          <w:sz w:val="32"/>
          <w:szCs w:val="32"/>
          <w14:textFill>
            <w14:solidFill>
              <w14:schemeClr w14:val="tx1"/>
            </w14:solidFill>
          </w14:textFill>
        </w:rPr>
        <w:t>属于</w:t>
      </w:r>
      <w:bookmarkStart w:id="1" w:name="OLE_LINK7"/>
      <w:r>
        <w:rPr>
          <w:rFonts w:hint="eastAsia" w:eastAsia="仿宋_GB2312"/>
          <w:color w:val="000000" w:themeColor="text1"/>
          <w:sz w:val="32"/>
          <w:szCs w:val="32"/>
          <w14:textFill>
            <w14:solidFill>
              <w14:schemeClr w14:val="tx1"/>
            </w14:solidFill>
          </w14:textFill>
        </w:rPr>
        <w:t>口腔治疗辅助材料</w:t>
      </w:r>
      <w:bookmarkEnd w:id="1"/>
      <w:r>
        <w:rPr>
          <w:rFonts w:hint="eastAsia" w:eastAsia="仿宋_GB2312"/>
          <w:color w:val="000000" w:themeColor="text1"/>
          <w:sz w:val="32"/>
          <w:szCs w:val="32"/>
          <w14:textFill>
            <w14:solidFill>
              <w14:schemeClr w14:val="tx1"/>
            </w14:solidFill>
          </w14:textFill>
        </w:rPr>
        <w:t>。</w:t>
      </w:r>
    </w:p>
    <w:p>
      <w:pPr>
        <w:spacing w:line="360" w:lineRule="auto"/>
        <w:ind w:firstLine="640" w:firstLineChars="200"/>
        <w:jc w:val="left"/>
        <w:rPr>
          <w:rFonts w:eastAsia="仿宋_GB2312"/>
          <w:color w:val="000000"/>
          <w:sz w:val="32"/>
          <w:szCs w:val="32"/>
        </w:rPr>
      </w:pPr>
      <w:r>
        <w:rPr>
          <w:rFonts w:hint="eastAsia" w:eastAsia="仿宋_GB2312"/>
          <w:color w:val="000000" w:themeColor="text1"/>
          <w:sz w:val="32"/>
          <w:szCs w:val="32"/>
          <w14:textFill>
            <w14:solidFill>
              <w14:schemeClr w14:val="tx1"/>
            </w14:solidFill>
          </w14:textFill>
        </w:rPr>
        <w:t>本指导原则中的牙科喷砂粉需与牙科专用喷砂机配套使用，</w:t>
      </w:r>
      <w:r>
        <w:rPr>
          <w:rFonts w:hint="eastAsia" w:eastAsia="仿宋_GB2312"/>
          <w:color w:val="000000"/>
          <w:sz w:val="32"/>
          <w:szCs w:val="32"/>
        </w:rPr>
        <w:t>适用于去除牙齿上的菌斑、色素、软垢及初期结石。</w:t>
      </w:r>
      <w:r>
        <w:rPr>
          <w:rFonts w:eastAsia="仿宋_GB2312"/>
          <w:color w:val="000000"/>
          <w:kern w:val="1"/>
          <w:sz w:val="32"/>
          <w:szCs w:val="28"/>
          <w:lang w:eastAsia="ar-SA"/>
        </w:rPr>
        <w:t>常用名称为</w:t>
      </w:r>
      <w:r>
        <w:rPr>
          <w:rFonts w:hint="eastAsia" w:eastAsia="仿宋_GB2312"/>
          <w:color w:val="000000"/>
          <w:kern w:val="1"/>
          <w:sz w:val="32"/>
          <w:szCs w:val="28"/>
        </w:rPr>
        <w:t>牙科喷砂粉</w:t>
      </w:r>
      <w:r>
        <w:rPr>
          <w:rFonts w:hint="eastAsia" w:eastAsia="仿宋_GB2312"/>
          <w:color w:val="000000"/>
          <w:sz w:val="32"/>
          <w:szCs w:val="32"/>
        </w:rPr>
        <w:t>。</w:t>
      </w:r>
      <w:bookmarkEnd w:id="0"/>
    </w:p>
    <w:p>
      <w:pPr>
        <w:spacing w:line="360" w:lineRule="auto"/>
        <w:ind w:right="-67" w:rightChars="-32" w:firstLine="640" w:firstLineChars="200"/>
        <w:rPr>
          <w:rFonts w:eastAsia="黑体"/>
          <w:color w:val="000000"/>
          <w:sz w:val="32"/>
          <w:szCs w:val="32"/>
        </w:rPr>
      </w:pPr>
      <w:r>
        <w:rPr>
          <w:rFonts w:eastAsia="黑体"/>
          <w:color w:val="000000"/>
          <w:sz w:val="32"/>
          <w:szCs w:val="32"/>
        </w:rPr>
        <w:t>二、</w:t>
      </w:r>
      <w:r>
        <w:rPr>
          <w:rFonts w:hint="eastAsia" w:ascii="黑体" w:hAnsi="黑体" w:eastAsia="黑体"/>
          <w:bCs/>
          <w:color w:val="000000"/>
          <w:sz w:val="32"/>
          <w:szCs w:val="32"/>
        </w:rPr>
        <w:t>注册审查要点</w:t>
      </w:r>
    </w:p>
    <w:p>
      <w:pPr>
        <w:numPr>
          <w:ilvl w:val="-1"/>
          <w:numId w:val="0"/>
        </w:numPr>
        <w:spacing w:line="360" w:lineRule="auto"/>
        <w:ind w:right="-67" w:rightChars="-32" w:firstLine="320" w:firstLineChars="100"/>
        <w:rPr>
          <w:rFonts w:eastAsia="楷体_GB2312"/>
          <w:color w:val="000000"/>
          <w:sz w:val="32"/>
          <w:szCs w:val="32"/>
        </w:rPr>
      </w:pPr>
      <w:r>
        <w:rPr>
          <w:rFonts w:eastAsia="楷体_GB2312"/>
          <w:color w:val="000000"/>
          <w:sz w:val="32"/>
          <w:szCs w:val="32"/>
        </w:rPr>
        <w:t>（一）</w:t>
      </w:r>
      <w:r>
        <w:rPr>
          <w:rFonts w:hint="eastAsia" w:eastAsia="楷体_GB2312"/>
          <w:color w:val="000000"/>
          <w:sz w:val="32"/>
          <w:szCs w:val="32"/>
        </w:rPr>
        <w:t>监管信息</w:t>
      </w:r>
    </w:p>
    <w:p>
      <w:pPr>
        <w:spacing w:line="360" w:lineRule="auto"/>
        <w:ind w:right="-67" w:rightChars="-32" w:firstLine="640" w:firstLineChars="200"/>
        <w:rPr>
          <w:rFonts w:eastAsia="楷体_GB2312"/>
          <w:color w:val="000000"/>
          <w:sz w:val="32"/>
          <w:szCs w:val="32"/>
        </w:rPr>
      </w:pPr>
      <w:r>
        <w:rPr>
          <w:rFonts w:hint="eastAsia" w:eastAsia="楷体_GB2312"/>
          <w:color w:val="000000"/>
          <w:sz w:val="32"/>
          <w:szCs w:val="32"/>
          <w:lang w:val="en-US" w:eastAsia="zh-CN"/>
        </w:rPr>
        <w:t>1.</w:t>
      </w:r>
      <w:r>
        <w:rPr>
          <w:rFonts w:eastAsia="楷体_GB2312"/>
          <w:color w:val="000000"/>
          <w:sz w:val="32"/>
          <w:szCs w:val="32"/>
        </w:rPr>
        <w:t>产品名称的要求</w:t>
      </w:r>
    </w:p>
    <w:p>
      <w:pPr>
        <w:pStyle w:val="2"/>
        <w:widowControl/>
        <w:pBdr>
          <w:top w:val="none" w:color="auto" w:sz="0" w:space="0"/>
          <w:left w:val="none" w:color="auto" w:sz="0" w:space="0"/>
          <w:bottom w:val="none" w:color="auto" w:sz="0" w:space="0"/>
          <w:right w:val="none" w:color="auto" w:sz="0" w:space="0"/>
        </w:pBdr>
        <w:shd w:val="clear" w:fill="FFFFFF"/>
        <w:spacing w:beforeAutospacing="0" w:afterAutospacing="0" w:line="360" w:lineRule="auto"/>
        <w:ind w:firstLine="640" w:firstLineChars="200"/>
        <w:jc w:val="left"/>
        <w:rPr>
          <w:rFonts w:ascii="仿宋_GB2312" w:hAnsi="Times New Roman" w:eastAsia="仿宋_GB2312" w:cs="Times New Roman"/>
          <w:b w:val="0"/>
          <w:bCs w:val="0"/>
          <w:color w:val="000000" w:themeColor="text1"/>
          <w:kern w:val="2"/>
          <w:sz w:val="32"/>
          <w:szCs w:val="32"/>
          <w:lang w:bidi="ar-SA"/>
          <w14:textFill>
            <w14:solidFill>
              <w14:schemeClr w14:val="tx1"/>
            </w14:solidFill>
          </w14:textFill>
        </w:rPr>
      </w:pPr>
      <w:bookmarkStart w:id="2" w:name="OLE_LINK1"/>
      <w:r>
        <w:rPr>
          <w:rFonts w:hint="eastAsia" w:ascii="仿宋_GB2312" w:hAnsi="Times New Roman" w:eastAsia="仿宋_GB2312" w:cs="Times New Roman"/>
          <w:b w:val="0"/>
          <w:bCs w:val="0"/>
          <w:color w:val="000000" w:themeColor="text1"/>
          <w:kern w:val="2"/>
          <w:sz w:val="32"/>
          <w:szCs w:val="32"/>
          <w:lang w:eastAsia="zh-CN" w:bidi="ar-SA"/>
          <w14:textFill>
            <w14:solidFill>
              <w14:schemeClr w14:val="tx1"/>
            </w14:solidFill>
          </w14:textFill>
        </w:rPr>
        <w:t>产品的命名应参考《医疗器械通用名称命名规则》（国家食品药品监督管理总局令第19号）和国家标准、行业标准上的通用名称要求</w:t>
      </w:r>
      <w:r>
        <w:rPr>
          <w:rFonts w:hint="eastAsia" w:ascii="仿宋_GB2312" w:hAnsi="Times New Roman" w:eastAsia="仿宋_GB2312" w:cs="Times New Roman"/>
          <w:b w:val="0"/>
          <w:bCs w:val="0"/>
          <w:color w:val="000000" w:themeColor="text1"/>
          <w:kern w:val="2"/>
          <w:sz w:val="32"/>
          <w:szCs w:val="32"/>
          <w:lang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eastAsia="zh-CN" w:bidi="ar-SA"/>
          <w14:textFill>
            <w14:solidFill>
              <w14:schemeClr w14:val="tx1"/>
            </w14:solidFill>
          </w14:textFill>
        </w:rPr>
        <w:t>或以使用形式、提供形式、使用部位、结构特点、技术特点或者材料组成为依据命名。</w:t>
      </w:r>
      <w:r>
        <w:rPr>
          <w:rFonts w:hint="eastAsia" w:ascii="仿宋_GB2312" w:hAnsi="Times New Roman" w:eastAsia="仿宋_GB2312" w:cs="Times New Roman"/>
          <w:b w:val="0"/>
          <w:bCs w:val="0"/>
          <w:color w:val="000000" w:themeColor="text1"/>
          <w:kern w:val="2"/>
          <w:sz w:val="32"/>
          <w:szCs w:val="32"/>
          <w:lang w:bidi="ar-SA"/>
          <w14:textFill>
            <w14:solidFill>
              <w14:schemeClr w14:val="tx1"/>
            </w14:solidFill>
          </w14:textFill>
        </w:rPr>
        <w:t>例如：牙科喷砂粉、洁牙粉等。</w:t>
      </w:r>
    </w:p>
    <w:bookmarkEnd w:id="2"/>
    <w:p>
      <w:pPr>
        <w:numPr>
          <w:ilvl w:val="-1"/>
          <w:numId w:val="0"/>
        </w:numPr>
        <w:spacing w:line="360" w:lineRule="auto"/>
        <w:ind w:left="0" w:right="-67" w:rightChars="-32" w:firstLine="640" w:firstLineChars="200"/>
        <w:rPr>
          <w:rFonts w:eastAsia="楷体_GB2312"/>
          <w:color w:val="000000"/>
          <w:sz w:val="32"/>
          <w:szCs w:val="32"/>
        </w:rPr>
      </w:pPr>
      <w:r>
        <w:rPr>
          <w:rFonts w:hint="eastAsia" w:eastAsia="楷体_GB2312"/>
          <w:color w:val="000000"/>
          <w:sz w:val="32"/>
          <w:szCs w:val="32"/>
          <w:lang w:val="en-US" w:eastAsia="zh-CN"/>
        </w:rPr>
        <w:t>2.</w:t>
      </w:r>
      <w:r>
        <w:rPr>
          <w:rFonts w:eastAsia="楷体_GB2312"/>
          <w:color w:val="000000"/>
          <w:sz w:val="32"/>
          <w:szCs w:val="32"/>
        </w:rPr>
        <w:t>产品的结构和组成</w:t>
      </w:r>
    </w:p>
    <w:p>
      <w:pPr>
        <w:suppressAutoHyphens/>
        <w:spacing w:line="360" w:lineRule="auto"/>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产品通常以碳酸氢钠、</w:t>
      </w:r>
      <w:r>
        <w:rPr>
          <w:rFonts w:hint="eastAsia" w:ascii="仿宋_GB2312" w:eastAsia="仿宋_GB2312"/>
          <w:color w:val="000000" w:themeColor="text1"/>
          <w:sz w:val="32"/>
          <w:szCs w:val="32"/>
          <w:lang w:eastAsia="zh-CN"/>
          <w14:textFill>
            <w14:solidFill>
              <w14:schemeClr w14:val="tx1"/>
            </w14:solidFill>
          </w14:textFill>
        </w:rPr>
        <w:t>碳酸钙、</w:t>
      </w:r>
      <w:r>
        <w:rPr>
          <w:rFonts w:hint="eastAsia" w:ascii="仿宋_GB2312" w:eastAsia="仿宋_GB2312"/>
          <w:color w:val="000000" w:themeColor="text1"/>
          <w:sz w:val="32"/>
          <w:szCs w:val="32"/>
          <w14:textFill>
            <w14:solidFill>
              <w14:schemeClr w14:val="tx1"/>
            </w14:solidFill>
          </w14:textFill>
        </w:rPr>
        <w:t>赤藓糖醇或甘氨酸等作为基础成分，并添加少量添加剂如二氧化硅、糖精钠、食用香精等。不同产品的基础成分不同，添加剂也不完全一致。</w:t>
      </w:r>
    </w:p>
    <w:p>
      <w:pPr>
        <w:numPr>
          <w:ilvl w:val="-1"/>
          <w:numId w:val="0"/>
        </w:numPr>
        <w:spacing w:line="360" w:lineRule="auto"/>
        <w:ind w:left="0" w:right="-67" w:rightChars="-32" w:firstLine="640" w:firstLineChars="200"/>
        <w:rPr>
          <w:rFonts w:eastAsia="楷体_GB2312"/>
          <w:color w:val="000000"/>
          <w:sz w:val="32"/>
          <w:szCs w:val="32"/>
        </w:rPr>
      </w:pPr>
      <w:r>
        <w:rPr>
          <w:rFonts w:hint="eastAsia" w:ascii="仿宋_GB2312" w:eastAsia="仿宋_GB2312"/>
          <w:color w:val="000000" w:themeColor="text1"/>
          <w:sz w:val="32"/>
          <w:szCs w:val="32"/>
          <w:lang w:val="en-US" w:eastAsia="zh-CN"/>
          <w14:textFill>
            <w14:solidFill>
              <w14:schemeClr w14:val="tx1"/>
            </w14:solidFill>
          </w14:textFill>
        </w:rPr>
        <w:t>3.</w:t>
      </w:r>
      <w:r>
        <w:rPr>
          <w:rFonts w:eastAsia="楷体_GB2312"/>
          <w:color w:val="000000"/>
          <w:sz w:val="32"/>
          <w:szCs w:val="32"/>
        </w:rPr>
        <w:t>注册单元划分的原则和实例</w:t>
      </w:r>
    </w:p>
    <w:p>
      <w:pPr>
        <w:suppressAutoHyphens/>
        <w:spacing w:line="360" w:lineRule="auto"/>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按照《医疗器械注册与备案管理办法》（国家市场监督管理总局令第47号）第一百一十一条</w:t>
      </w:r>
      <w:r>
        <w:rPr>
          <w:rFonts w:hint="eastAsia" w:ascii="仿宋_GB2312" w:eastAsia="仿宋_GB2312"/>
          <w:color w:val="000000" w:themeColor="text1"/>
          <w:sz w:val="32"/>
          <w:szCs w:val="32"/>
          <w:lang w:val="en-US" w:eastAsia="zh-CN"/>
          <w14:textFill>
            <w14:solidFill>
              <w14:schemeClr w14:val="tx1"/>
            </w14:solidFill>
          </w14:textFill>
        </w:rPr>
        <w:t>和</w:t>
      </w:r>
      <w:r>
        <w:rPr>
          <w:rFonts w:hint="eastAsia" w:ascii="仿宋_GB2312" w:hAnsi="Times New Roman" w:eastAsia="仿宋_GB2312" w:cs="Times New Roman"/>
          <w:b w:val="0"/>
          <w:bCs w:val="0"/>
          <w:color w:val="000000" w:themeColor="text1"/>
          <w:kern w:val="2"/>
          <w:sz w:val="32"/>
          <w:szCs w:val="32"/>
          <w:lang w:eastAsia="ar-SA" w:bidi="ar-SA"/>
          <w14:textFill>
            <w14:solidFill>
              <w14:schemeClr w14:val="tx1"/>
            </w14:solidFill>
          </w14:textFill>
        </w:rPr>
        <w:t>《</w:t>
      </w:r>
      <w:r>
        <w:rPr>
          <w:rFonts w:ascii="仿宋_GB2312" w:hAnsi="Times New Roman" w:eastAsia="仿宋_GB2312" w:cs="Times New Roman"/>
          <w:b w:val="0"/>
          <w:bCs w:val="0"/>
          <w:i w:val="0"/>
          <w:iCs w:val="0"/>
          <w:caps w:val="0"/>
          <w:color w:val="000000" w:themeColor="text1"/>
          <w:spacing w:val="0"/>
          <w:kern w:val="2"/>
          <w:sz w:val="32"/>
          <w:szCs w:val="32"/>
          <w:shd w:val="clear"/>
          <w:lang w:eastAsia="ar-SA" w:bidi="ar-SA"/>
          <w14:textFill>
            <w14:solidFill>
              <w14:schemeClr w14:val="tx1"/>
            </w14:solidFill>
          </w14:textFill>
        </w:rPr>
        <w:t>医疗器械注册单元划分指导原则</w:t>
      </w:r>
      <w:r>
        <w:rPr>
          <w:rFonts w:hint="eastAsia" w:ascii="仿宋_GB2312" w:hAnsi="Times New Roman" w:eastAsia="仿宋_GB2312" w:cs="Times New Roman"/>
          <w:b w:val="0"/>
          <w:bCs w:val="0"/>
          <w:color w:val="000000" w:themeColor="text1"/>
          <w:kern w:val="2"/>
          <w:sz w:val="32"/>
          <w:szCs w:val="32"/>
          <w:lang w:eastAsia="ar-SA" w:bidi="ar-SA"/>
          <w14:textFill>
            <w14:solidFill>
              <w14:schemeClr w14:val="tx1"/>
            </w14:solidFill>
          </w14:textFill>
        </w:rPr>
        <w:t>》</w:t>
      </w:r>
      <w:r>
        <w:rPr>
          <w:rFonts w:hint="eastAsia" w:ascii="仿宋_GB2312" w:hAnsi="Times New Roman" w:eastAsia="仿宋_GB2312" w:cs="Times New Roman"/>
          <w:b w:val="0"/>
          <w:bCs w:val="0"/>
          <w:color w:val="000000" w:themeColor="text1"/>
          <w:kern w:val="2"/>
          <w:sz w:val="32"/>
          <w:szCs w:val="32"/>
          <w:lang w:val="en-US" w:eastAsia="ar-SA" w:bidi="ar-SA"/>
          <w14:textFill>
            <w14:solidFill>
              <w14:schemeClr w14:val="tx1"/>
            </w14:solidFill>
          </w14:textFill>
        </w:rPr>
        <w:t>(总局通告</w:t>
      </w:r>
      <w:r>
        <w:rPr>
          <w:rFonts w:hint="eastAsia" w:ascii="仿宋_GB2312" w:hAnsi="Times New Roman" w:eastAsia="仿宋_GB2312" w:cs="Times New Roman"/>
          <w:b w:val="0"/>
          <w:bCs w:val="0"/>
          <w:i w:val="0"/>
          <w:iCs w:val="0"/>
          <w:caps w:val="0"/>
          <w:color w:val="000000" w:themeColor="text1"/>
          <w:spacing w:val="0"/>
          <w:kern w:val="2"/>
          <w:sz w:val="32"/>
          <w:szCs w:val="32"/>
          <w:shd w:val="clear"/>
          <w:lang w:eastAsia="ar-SA" w:bidi="ar-SA"/>
          <w14:textFill>
            <w14:solidFill>
              <w14:schemeClr w14:val="tx1"/>
            </w14:solidFill>
          </w14:textFill>
        </w:rPr>
        <w:t>2017年第187号）</w:t>
      </w:r>
      <w:r>
        <w:rPr>
          <w:rFonts w:hint="eastAsia" w:ascii="仿宋_GB2312" w:eastAsia="仿宋_GB2312" w:cs="Times New Roman"/>
          <w:b w:val="0"/>
          <w:bCs w:val="0"/>
          <w:i w:val="0"/>
          <w:iCs w:val="0"/>
          <w:caps w:val="0"/>
          <w:color w:val="000000" w:themeColor="text1"/>
          <w:spacing w:val="0"/>
          <w:kern w:val="2"/>
          <w:sz w:val="32"/>
          <w:szCs w:val="32"/>
          <w:shd w:val="clear"/>
          <w:lang w:val="en-US" w:eastAsia="zh-CN" w:bidi="ar-SA"/>
          <w14:textFill>
            <w14:solidFill>
              <w14:schemeClr w14:val="tx1"/>
            </w14:solidFill>
          </w14:textFill>
        </w:rPr>
        <w:t>的</w:t>
      </w:r>
      <w:r>
        <w:rPr>
          <w:rFonts w:hint="eastAsia" w:ascii="仿宋_GB2312" w:eastAsia="仿宋_GB2312"/>
          <w:color w:val="000000" w:themeColor="text1"/>
          <w:sz w:val="32"/>
          <w:szCs w:val="32"/>
          <w14:textFill>
            <w14:solidFill>
              <w14:schemeClr w14:val="tx1"/>
            </w14:solidFill>
          </w14:textFill>
        </w:rPr>
        <w:t>要求，医疗器械产品的注册或者备案单元原则上以技术原理、结构组成、性能指标和适用范围为划分依据。</w:t>
      </w:r>
    </w:p>
    <w:p>
      <w:pPr>
        <w:suppressAutoHyphens/>
        <w:spacing w:line="360" w:lineRule="auto"/>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牙科喷砂粉产品的注册单元原则上以基础成分作为划分依据，不同的注册单元应分别编制相应的产品技术要求。</w:t>
      </w:r>
    </w:p>
    <w:p>
      <w:pPr>
        <w:suppressAutoHyphens/>
        <w:spacing w:line="360" w:lineRule="auto"/>
        <w:ind w:firstLine="640" w:firstLineChars="200"/>
        <w:rPr>
          <w:rFonts w:eastAsia="仿宋_GB2312"/>
          <w:color w:val="000000" w:themeColor="text1"/>
          <w:spacing w:val="4"/>
          <w:kern w:val="28"/>
          <w:sz w:val="32"/>
          <w:szCs w:val="28"/>
          <w:lang w:eastAsia="ar-SA"/>
          <w14:textFill>
            <w14:solidFill>
              <w14:schemeClr w14:val="tx1"/>
            </w14:solidFill>
          </w14:textFill>
        </w:rPr>
      </w:pPr>
      <w:r>
        <w:rPr>
          <w:rFonts w:eastAsia="仿宋_GB2312"/>
          <w:color w:val="000000" w:themeColor="text1"/>
          <w:sz w:val="32"/>
          <w:szCs w:val="32"/>
          <w14:textFill>
            <w14:solidFill>
              <w14:schemeClr w14:val="tx1"/>
            </w14:solidFill>
          </w14:textFill>
        </w:rPr>
        <w:t>主要</w:t>
      </w:r>
      <w:r>
        <w:rPr>
          <w:rFonts w:hint="eastAsia" w:eastAsia="仿宋_GB2312"/>
          <w:color w:val="000000"/>
          <w:kern w:val="1"/>
          <w:sz w:val="32"/>
          <w:szCs w:val="28"/>
        </w:rPr>
        <w:t>基础成分</w:t>
      </w:r>
      <w:r>
        <w:rPr>
          <w:rFonts w:eastAsia="仿宋_GB2312"/>
          <w:color w:val="000000" w:themeColor="text1"/>
          <w:sz w:val="32"/>
          <w:szCs w:val="32"/>
          <w14:textFill>
            <w14:solidFill>
              <w14:schemeClr w14:val="tx1"/>
            </w14:solidFill>
          </w14:textFill>
        </w:rPr>
        <w:t>不同的产品应划分为不同的注册单元。</w:t>
      </w:r>
      <w:r>
        <w:rPr>
          <w:rFonts w:hint="eastAsia" w:eastAsia="仿宋_GB2312"/>
          <w:color w:val="000000" w:themeColor="text1"/>
          <w:kern w:val="1"/>
          <w:sz w:val="32"/>
          <w:szCs w:val="28"/>
          <w14:textFill>
            <w14:solidFill>
              <w14:schemeClr w14:val="tx1"/>
            </w14:solidFill>
          </w14:textFill>
        </w:rPr>
        <w:t>例</w:t>
      </w:r>
      <w:r>
        <w:rPr>
          <w:rFonts w:eastAsia="仿宋_GB2312"/>
          <w:color w:val="000000" w:themeColor="text1"/>
          <w:kern w:val="1"/>
          <w:sz w:val="32"/>
          <w:szCs w:val="28"/>
          <w:lang w:eastAsia="ar-SA"/>
          <w14:textFill>
            <w14:solidFill>
              <w14:schemeClr w14:val="tx1"/>
            </w14:solidFill>
          </w14:textFill>
        </w:rPr>
        <w:t>如</w:t>
      </w:r>
      <w:r>
        <w:rPr>
          <w:rFonts w:hint="eastAsia" w:eastAsia="仿宋_GB2312"/>
          <w:color w:val="000000" w:themeColor="text1"/>
          <w:kern w:val="1"/>
          <w:sz w:val="32"/>
          <w:szCs w:val="28"/>
          <w14:textFill>
            <w14:solidFill>
              <w14:schemeClr w14:val="tx1"/>
            </w14:solidFill>
          </w14:textFill>
        </w:rPr>
        <w:t>产品的基础成分为</w:t>
      </w:r>
      <w:r>
        <w:rPr>
          <w:rFonts w:hint="eastAsia" w:eastAsia="仿宋_GB2312"/>
          <w:color w:val="000000" w:themeColor="text1"/>
          <w:kern w:val="1"/>
          <w:sz w:val="32"/>
          <w:szCs w:val="28"/>
          <w:lang w:eastAsia="ar-SA"/>
          <w14:textFill>
            <w14:solidFill>
              <w14:schemeClr w14:val="tx1"/>
            </w14:solidFill>
          </w14:textFill>
        </w:rPr>
        <w:t>碳酸氢钠</w:t>
      </w:r>
      <w:r>
        <w:rPr>
          <w:rFonts w:hint="eastAsia" w:eastAsia="仿宋_GB2312"/>
          <w:color w:val="000000" w:themeColor="text1"/>
          <w:kern w:val="1"/>
          <w:sz w:val="32"/>
          <w:szCs w:val="28"/>
          <w:lang w:val="en-US" w:eastAsia="zh-CN"/>
          <w14:textFill>
            <w14:solidFill>
              <w14:schemeClr w14:val="tx1"/>
            </w14:solidFill>
          </w14:textFill>
        </w:rPr>
        <w:t>和</w:t>
      </w:r>
      <w:r>
        <w:rPr>
          <w:rFonts w:hint="eastAsia" w:eastAsia="仿宋_GB2312"/>
          <w:color w:val="000000" w:themeColor="text1"/>
          <w:kern w:val="1"/>
          <w:sz w:val="32"/>
          <w:szCs w:val="28"/>
          <w:lang w:eastAsia="ar-SA"/>
          <w14:textFill>
            <w14:solidFill>
              <w14:schemeClr w14:val="tx1"/>
            </w14:solidFill>
          </w14:textFill>
        </w:rPr>
        <w:t>赤藓糖醇</w:t>
      </w:r>
      <w:r>
        <w:rPr>
          <w:rFonts w:hint="eastAsia" w:eastAsia="仿宋_GB2312"/>
          <w:color w:val="000000" w:themeColor="text1"/>
          <w:kern w:val="1"/>
          <w:sz w:val="32"/>
          <w:szCs w:val="28"/>
          <w:lang w:val="en-US" w:eastAsia="zh-CN"/>
          <w14:textFill>
            <w14:solidFill>
              <w14:schemeClr w14:val="tx1"/>
            </w14:solidFill>
          </w14:textFill>
        </w:rPr>
        <w:t>的两个不同产品</w:t>
      </w:r>
      <w:r>
        <w:rPr>
          <w:rFonts w:hint="eastAsia" w:eastAsia="仿宋_GB2312"/>
          <w:color w:val="000000" w:themeColor="text1"/>
          <w:kern w:val="1"/>
          <w:sz w:val="32"/>
          <w:szCs w:val="28"/>
          <w14:textFill>
            <w14:solidFill>
              <w14:schemeClr w14:val="tx1"/>
            </w14:solidFill>
          </w14:textFill>
        </w:rPr>
        <w:t>，</w:t>
      </w:r>
      <w:r>
        <w:rPr>
          <w:rFonts w:eastAsia="仿宋_GB2312"/>
          <w:color w:val="000000" w:themeColor="text1"/>
          <w:spacing w:val="4"/>
          <w:kern w:val="28"/>
          <w:sz w:val="32"/>
          <w:szCs w:val="28"/>
          <w:lang w:eastAsia="ar-SA"/>
          <w14:textFill>
            <w14:solidFill>
              <w14:schemeClr w14:val="tx1"/>
            </w14:solidFill>
          </w14:textFill>
        </w:rPr>
        <w:t>应按照</w:t>
      </w:r>
      <w:r>
        <w:rPr>
          <w:rFonts w:hint="eastAsia" w:eastAsia="仿宋_GB2312"/>
          <w:color w:val="000000" w:themeColor="text1"/>
          <w:spacing w:val="4"/>
          <w:kern w:val="28"/>
          <w:sz w:val="32"/>
          <w:szCs w:val="28"/>
          <w14:textFill>
            <w14:solidFill>
              <w14:schemeClr w14:val="tx1"/>
            </w14:solidFill>
          </w14:textFill>
        </w:rPr>
        <w:t>两个不同</w:t>
      </w:r>
      <w:r>
        <w:rPr>
          <w:rFonts w:eastAsia="仿宋_GB2312"/>
          <w:color w:val="000000" w:themeColor="text1"/>
          <w:spacing w:val="4"/>
          <w:kern w:val="28"/>
          <w:sz w:val="32"/>
          <w:szCs w:val="28"/>
          <w:lang w:eastAsia="ar-SA"/>
          <w14:textFill>
            <w14:solidFill>
              <w14:schemeClr w14:val="tx1"/>
            </w14:solidFill>
          </w14:textFill>
        </w:rPr>
        <w:t>注册单元进行</w:t>
      </w:r>
      <w:r>
        <w:rPr>
          <w:rFonts w:hint="eastAsia" w:eastAsia="仿宋_GB2312"/>
          <w:color w:val="000000" w:themeColor="text1"/>
          <w:spacing w:val="4"/>
          <w:kern w:val="28"/>
          <w:sz w:val="32"/>
          <w:szCs w:val="28"/>
          <w14:textFill>
            <w14:solidFill>
              <w14:schemeClr w14:val="tx1"/>
            </w14:solidFill>
          </w14:textFill>
        </w:rPr>
        <w:t>注册</w:t>
      </w:r>
      <w:r>
        <w:rPr>
          <w:rFonts w:hint="eastAsia" w:eastAsia="仿宋_GB2312"/>
          <w:color w:val="000000" w:themeColor="text1"/>
          <w:spacing w:val="4"/>
          <w:kern w:val="28"/>
          <w:sz w:val="32"/>
          <w:szCs w:val="28"/>
          <w:lang w:val="en-US" w:eastAsia="zh-CN"/>
          <w14:textFill>
            <w14:solidFill>
              <w14:schemeClr w14:val="tx1"/>
            </w14:solidFill>
          </w14:textFill>
        </w:rPr>
        <w:t>申报</w:t>
      </w:r>
      <w:r>
        <w:rPr>
          <w:rFonts w:eastAsia="仿宋_GB2312"/>
          <w:color w:val="000000" w:themeColor="text1"/>
          <w:spacing w:val="4"/>
          <w:kern w:val="28"/>
          <w:sz w:val="32"/>
          <w:szCs w:val="28"/>
          <w:lang w:eastAsia="ar-SA"/>
          <w14:textFill>
            <w14:solidFill>
              <w14:schemeClr w14:val="tx1"/>
            </w14:solidFill>
          </w14:textFill>
        </w:rPr>
        <w:t>。</w:t>
      </w:r>
    </w:p>
    <w:p>
      <w:pPr>
        <w:numPr>
          <w:ilvl w:val="0"/>
          <w:numId w:val="1"/>
        </w:numPr>
        <w:suppressAutoHyphens/>
        <w:spacing w:line="360" w:lineRule="auto"/>
        <w:ind w:firstLine="656" w:firstLineChars="200"/>
        <w:rPr>
          <w:rFonts w:hint="eastAsia" w:eastAsia="仿宋_GB2312"/>
          <w:color w:val="000000" w:themeColor="text1"/>
          <w:spacing w:val="4"/>
          <w:kern w:val="28"/>
          <w:sz w:val="32"/>
          <w:szCs w:val="28"/>
          <w:lang w:val="en-US" w:eastAsia="zh-CN"/>
          <w14:textFill>
            <w14:solidFill>
              <w14:schemeClr w14:val="tx1"/>
            </w14:solidFill>
          </w14:textFill>
        </w:rPr>
      </w:pPr>
      <w:r>
        <w:rPr>
          <w:rFonts w:hint="eastAsia" w:eastAsia="仿宋_GB2312"/>
          <w:color w:val="000000" w:themeColor="text1"/>
          <w:spacing w:val="4"/>
          <w:kern w:val="28"/>
          <w:sz w:val="32"/>
          <w:szCs w:val="28"/>
          <w:lang w:val="en-US" w:eastAsia="zh-CN"/>
          <w14:textFill>
            <w14:solidFill>
              <w14:schemeClr w14:val="tx1"/>
            </w14:solidFill>
          </w14:textFill>
        </w:rPr>
        <w:t>综述资料</w:t>
      </w:r>
    </w:p>
    <w:p>
      <w:pPr>
        <w:numPr>
          <w:ilvl w:val="0"/>
          <w:numId w:val="2"/>
        </w:numPr>
        <w:suppressAutoHyphens/>
        <w:spacing w:line="360" w:lineRule="auto"/>
        <w:ind w:left="840" w:firstLine="0" w:firstLineChars="0"/>
        <w:rPr>
          <w:rFonts w:hint="eastAsia" w:eastAsia="仿宋_GB2312"/>
          <w:color w:val="000000" w:themeColor="text1"/>
          <w:spacing w:val="4"/>
          <w:kern w:val="28"/>
          <w:sz w:val="32"/>
          <w:szCs w:val="28"/>
          <w:lang w:val="en-US" w:eastAsia="zh-CN"/>
          <w14:textFill>
            <w14:solidFill>
              <w14:schemeClr w14:val="tx1"/>
            </w14:solidFill>
          </w14:textFill>
        </w:rPr>
      </w:pPr>
      <w:r>
        <w:rPr>
          <w:rFonts w:hint="eastAsia" w:eastAsia="仿宋_GB2312"/>
          <w:color w:val="000000" w:themeColor="text1"/>
          <w:spacing w:val="4"/>
          <w:kern w:val="28"/>
          <w:sz w:val="32"/>
          <w:szCs w:val="28"/>
          <w:lang w:val="en-US" w:eastAsia="zh-CN"/>
          <w14:textFill>
            <w14:solidFill>
              <w14:schemeClr w14:val="tx1"/>
            </w14:solidFill>
          </w14:textFill>
        </w:rPr>
        <w:t>产品描述</w:t>
      </w:r>
    </w:p>
    <w:p>
      <w:pPr>
        <w:numPr>
          <w:ilvl w:val="-1"/>
          <w:numId w:val="0"/>
        </w:numPr>
        <w:spacing w:line="360" w:lineRule="auto"/>
        <w:ind w:left="840" w:right="0" w:rightChars="0" w:firstLine="0" w:firstLineChars="0"/>
        <w:rPr>
          <w:rFonts w:hint="eastAsia" w:eastAsia="楷体_GB2312"/>
          <w:color w:val="000000"/>
          <w:sz w:val="32"/>
          <w:szCs w:val="32"/>
        </w:rPr>
      </w:pPr>
      <w:r>
        <w:rPr>
          <w:rFonts w:hint="eastAsia" w:eastAsia="仿宋_GB2312"/>
          <w:color w:val="000000" w:themeColor="text1"/>
          <w:spacing w:val="4"/>
          <w:kern w:val="28"/>
          <w:sz w:val="32"/>
          <w:szCs w:val="28"/>
          <w:lang w:val="en-US" w:eastAsia="zh-CN"/>
          <w14:textFill>
            <w14:solidFill>
              <w14:schemeClr w14:val="tx1"/>
            </w14:solidFill>
          </w14:textFill>
        </w:rPr>
        <w:t>1.1</w:t>
      </w:r>
      <w:r>
        <w:rPr>
          <w:rFonts w:eastAsia="楷体_GB2312"/>
          <w:color w:val="000000"/>
          <w:sz w:val="32"/>
          <w:szCs w:val="32"/>
        </w:rPr>
        <w:t>产品工作原理/作用机理</w:t>
      </w:r>
    </w:p>
    <w:p>
      <w:pPr>
        <w:suppressAutoHyphens/>
        <w:spacing w:line="360" w:lineRule="auto"/>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牙科喷砂粉装载于专用的喷砂洁治设备</w:t>
      </w:r>
      <w:r>
        <w:rPr>
          <w:rFonts w:hint="eastAsia" w:ascii="仿宋_GB2312" w:eastAsia="仿宋_GB2312"/>
          <w:color w:val="000000" w:themeColor="text1"/>
          <w:sz w:val="32"/>
          <w:szCs w:val="32"/>
          <w:lang w:eastAsia="zh-CN"/>
          <w14:textFill>
            <w14:solidFill>
              <w14:schemeClr w14:val="tx1"/>
            </w14:solidFill>
          </w14:textFill>
        </w:rPr>
        <w:t>的</w:t>
      </w:r>
      <w:r>
        <w:rPr>
          <w:rFonts w:hint="eastAsia" w:ascii="仿宋_GB2312" w:eastAsia="仿宋_GB2312"/>
          <w:color w:val="000000" w:themeColor="text1"/>
          <w:sz w:val="32"/>
          <w:szCs w:val="32"/>
          <w14:textFill>
            <w14:solidFill>
              <w14:schemeClr w14:val="tx1"/>
            </w14:solidFill>
          </w14:textFill>
        </w:rPr>
        <w:t>砂粉腔中。喷砂洁治设备</w:t>
      </w:r>
      <w:r>
        <w:rPr>
          <w:rFonts w:hint="eastAsia" w:ascii="仿宋_GB2312" w:eastAsia="仿宋_GB2312"/>
          <w:color w:val="000000" w:themeColor="text1"/>
          <w:sz w:val="32"/>
          <w:szCs w:val="32"/>
          <w:lang w:eastAsia="zh-CN"/>
          <w14:textFill>
            <w14:solidFill>
              <w14:schemeClr w14:val="tx1"/>
            </w14:solidFill>
          </w14:textFill>
        </w:rPr>
        <w:t>由空气</w:t>
      </w:r>
      <w:r>
        <w:rPr>
          <w:rFonts w:hint="eastAsia" w:ascii="仿宋_GB2312" w:eastAsia="仿宋_GB2312"/>
          <w:color w:val="000000" w:themeColor="text1"/>
          <w:sz w:val="32"/>
          <w:szCs w:val="32"/>
          <w14:textFill>
            <w14:solidFill>
              <w14:schemeClr w14:val="tx1"/>
            </w14:solidFill>
          </w14:textFill>
        </w:rPr>
        <w:t>驱动，</w:t>
      </w:r>
      <w:r>
        <w:rPr>
          <w:rFonts w:hint="eastAsia" w:ascii="仿宋_GB2312" w:eastAsia="仿宋_GB2312"/>
          <w:color w:val="000000" w:themeColor="text1"/>
          <w:sz w:val="32"/>
          <w:szCs w:val="32"/>
          <w:lang w:eastAsia="zh-CN"/>
          <w14:textFill>
            <w14:solidFill>
              <w14:schemeClr w14:val="tx1"/>
            </w14:solidFill>
          </w14:textFill>
        </w:rPr>
        <w:t>将喷砂粉和水</w:t>
      </w:r>
      <w:r>
        <w:rPr>
          <w:rFonts w:hint="eastAsia" w:ascii="仿宋_GB2312" w:eastAsia="仿宋_GB2312"/>
          <w:color w:val="000000" w:themeColor="text1"/>
          <w:sz w:val="32"/>
          <w:szCs w:val="32"/>
          <w14:textFill>
            <w14:solidFill>
              <w14:schemeClr w14:val="tx1"/>
            </w14:solidFill>
          </w14:textFill>
        </w:rPr>
        <w:t>形成水/气/砂粉混合喷射气雾，</w:t>
      </w:r>
      <w:r>
        <w:rPr>
          <w:rFonts w:hint="eastAsia" w:ascii="仿宋_GB2312" w:eastAsia="仿宋_GB2312"/>
          <w:color w:val="000000" w:themeColor="text1"/>
          <w:sz w:val="32"/>
          <w:szCs w:val="32"/>
          <w:lang w:val="en-US" w:eastAsia="zh-CN"/>
          <w14:textFill>
            <w14:solidFill>
              <w14:schemeClr w14:val="tx1"/>
            </w14:solidFill>
          </w14:textFill>
        </w:rPr>
        <w:t>并通过喷砂洁治设备手柄前端的喷嘴喷出，</w:t>
      </w:r>
      <w:r>
        <w:rPr>
          <w:rFonts w:hint="eastAsia" w:ascii="仿宋_GB2312" w:eastAsia="仿宋_GB2312"/>
          <w:color w:val="000000" w:themeColor="text1"/>
          <w:sz w:val="32"/>
          <w:szCs w:val="32"/>
          <w14:textFill>
            <w14:solidFill>
              <w14:schemeClr w14:val="tx1"/>
            </w14:solidFill>
          </w14:textFill>
        </w:rPr>
        <w:t>作用于牙面，将菌斑、色素、软垢及初期结石高效清除，并对作用面起到清洁与抛光作用。</w:t>
      </w:r>
    </w:p>
    <w:p>
      <w:pPr>
        <w:suppressAutoHyphens/>
        <w:spacing w:line="360" w:lineRule="auto"/>
        <w:ind w:firstLine="640" w:firstLineChars="200"/>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牙科喷砂粉中的基础成分一般选用具有合适莫氏硬度的材料，以达到对牙体组织磨耗最低的同时又能高效地清除牙面附着物的目的。砂粉材质过硬会造成牙体磨耗度过大，过软则清洁效率太低。因此选用的砂粉材质莫氏硬度一般为2~3。例如碳酸氢钠莫氏硬度为2.5，甘氨酸莫氏硬度为2.0。</w:t>
      </w:r>
    </w:p>
    <w:p>
      <w:pPr>
        <w:numPr>
          <w:ilvl w:val="-1"/>
          <w:numId w:val="0"/>
        </w:numPr>
        <w:spacing w:line="360" w:lineRule="auto"/>
        <w:ind w:left="420" w:leftChars="200" w:right="-67" w:rightChars="-32" w:firstLine="320" w:firstLineChars="100"/>
        <w:rPr>
          <w:rFonts w:eastAsia="楷体_GB2312"/>
          <w:color w:val="000000"/>
          <w:sz w:val="32"/>
          <w:szCs w:val="32"/>
        </w:rPr>
      </w:pPr>
      <w:r>
        <w:rPr>
          <w:rFonts w:hint="eastAsia" w:eastAsia="楷体_GB2312"/>
          <w:color w:val="000000"/>
          <w:sz w:val="32"/>
          <w:szCs w:val="32"/>
          <w:lang w:val="en-US" w:eastAsia="zh-CN"/>
        </w:rPr>
        <w:t>1.2型号规格</w:t>
      </w:r>
    </w:p>
    <w:p>
      <w:pPr>
        <w:spacing w:line="560" w:lineRule="exact"/>
        <w:ind w:firstLine="640" w:firstLineChars="200"/>
        <w:rPr>
          <w:rFonts w:eastAsia="仿宋_GB2312"/>
          <w:sz w:val="32"/>
          <w:szCs w:val="32"/>
        </w:rPr>
      </w:pPr>
      <w:r>
        <w:rPr>
          <w:rFonts w:eastAsia="仿宋_GB2312"/>
          <w:sz w:val="32"/>
          <w:szCs w:val="32"/>
        </w:rPr>
        <w:t>在同一注册单元内，建议具有包装形式、使用方法等不同的产品划分为不同型号；具有相同包装形式、不同包装规格的产品划分为不同规格。对于申报产品存在多种型号的情形，以结构示意图和文字说明相结合的形式描述不同型号产品的包装结构特征，及使用方法。</w:t>
      </w:r>
    </w:p>
    <w:p>
      <w:pPr>
        <w:spacing w:line="560" w:lineRule="exact"/>
        <w:ind w:firstLine="640" w:firstLineChars="200"/>
        <w:rPr>
          <w:rFonts w:eastAsia="仿宋_GB2312"/>
          <w:sz w:val="32"/>
          <w:szCs w:val="32"/>
        </w:rPr>
      </w:pPr>
      <w:r>
        <w:rPr>
          <w:rFonts w:hint="eastAsia" w:eastAsia="仿宋_GB2312"/>
          <w:sz w:val="32"/>
          <w:szCs w:val="32"/>
          <w:lang w:val="en-US" w:eastAsia="zh-CN"/>
        </w:rPr>
        <w:t>1.3</w:t>
      </w:r>
      <w:r>
        <w:rPr>
          <w:rFonts w:eastAsia="仿宋_GB2312"/>
          <w:sz w:val="32"/>
          <w:szCs w:val="32"/>
        </w:rPr>
        <w:t>产品包装说明</w:t>
      </w:r>
    </w:p>
    <w:p>
      <w:pPr>
        <w:spacing w:line="560" w:lineRule="exact"/>
        <w:ind w:firstLine="640" w:firstLineChars="200"/>
        <w:rPr>
          <w:rFonts w:eastAsia="仿宋_GB2312"/>
          <w:sz w:val="32"/>
          <w:szCs w:val="32"/>
        </w:rPr>
      </w:pPr>
      <w:r>
        <w:rPr>
          <w:rFonts w:eastAsia="仿宋_GB2312"/>
          <w:sz w:val="32"/>
          <w:szCs w:val="32"/>
        </w:rPr>
        <w:t>以图片和文字相结合的方式明示申报产品的包装信息，以列表形式说明所有包装内容物。提供包装材料的信息，评价包装材料对材料储存过程的影响</w:t>
      </w:r>
      <w:r>
        <w:rPr>
          <w:rFonts w:hint="eastAsia" w:eastAsia="仿宋_GB2312"/>
          <w:sz w:val="32"/>
          <w:szCs w:val="32"/>
          <w:lang w:eastAsia="zh-CN"/>
        </w:rPr>
        <w:t>，</w:t>
      </w:r>
      <w:r>
        <w:rPr>
          <w:rFonts w:hint="eastAsia" w:eastAsia="仿宋_GB2312"/>
          <w:sz w:val="32"/>
          <w:szCs w:val="32"/>
          <w:lang w:val="en-US" w:eastAsia="zh-CN"/>
        </w:rPr>
        <w:t>如包装应具有防潮性</w:t>
      </w:r>
      <w:r>
        <w:rPr>
          <w:rFonts w:eastAsia="仿宋_GB2312"/>
          <w:sz w:val="32"/>
          <w:szCs w:val="32"/>
        </w:rPr>
        <w:t>。标明产品包装装量。</w:t>
      </w:r>
    </w:p>
    <w:p>
      <w:pPr>
        <w:numPr>
          <w:ilvl w:val="-1"/>
          <w:numId w:val="0"/>
        </w:numPr>
        <w:suppressAutoHyphens/>
        <w:spacing w:line="360" w:lineRule="auto"/>
        <w:ind w:left="840" w:firstLine="0" w:firstLineChars="0"/>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1.4</w:t>
      </w:r>
      <w:r>
        <w:rPr>
          <w:rFonts w:hint="eastAsia" w:eastAsia="仿宋_GB2312"/>
          <w:color w:val="000000" w:themeColor="text1"/>
          <w:sz w:val="32"/>
          <w:szCs w:val="32"/>
          <w14:textFill>
            <w14:solidFill>
              <w14:schemeClr w14:val="tx1"/>
            </w14:solidFill>
          </w14:textFill>
        </w:rPr>
        <w:t>适用范围</w:t>
      </w:r>
      <w:r>
        <w:rPr>
          <w:rFonts w:hint="eastAsia" w:eastAsia="仿宋_GB2312"/>
          <w:color w:val="000000" w:themeColor="text1"/>
          <w:sz w:val="32"/>
          <w:szCs w:val="32"/>
          <w:lang w:val="en-US" w:eastAsia="zh-CN"/>
          <w14:textFill>
            <w14:solidFill>
              <w14:schemeClr w14:val="tx1"/>
            </w14:solidFill>
          </w14:textFill>
        </w:rPr>
        <w:t>和禁忌症</w:t>
      </w:r>
    </w:p>
    <w:p>
      <w:pPr>
        <w:numPr>
          <w:ilvl w:val="-1"/>
          <w:numId w:val="0"/>
        </w:numPr>
        <w:suppressAutoHyphens/>
        <w:spacing w:line="360" w:lineRule="auto"/>
        <w:ind w:left="0" w:firstLine="640" w:firstLineChars="200"/>
        <w:rPr>
          <w:rFonts w:eastAsia="仿宋_GB2312"/>
          <w:color w:val="000000"/>
          <w:kern w:val="1"/>
          <w:sz w:val="32"/>
          <w:szCs w:val="28"/>
          <w:highlight w:val="lightGray"/>
          <w:lang w:eastAsia="ar-SA"/>
        </w:rPr>
      </w:pPr>
      <w:r>
        <w:rPr>
          <w:rFonts w:hint="eastAsia" w:eastAsia="仿宋_GB2312"/>
          <w:color w:val="000000"/>
          <w:kern w:val="1"/>
          <w:sz w:val="32"/>
          <w:szCs w:val="28"/>
        </w:rPr>
        <w:t>牙科喷砂粉</w:t>
      </w:r>
      <w:r>
        <w:rPr>
          <w:rFonts w:eastAsia="仿宋_GB2312"/>
          <w:color w:val="000000"/>
          <w:kern w:val="1"/>
          <w:sz w:val="32"/>
          <w:szCs w:val="28"/>
          <w:lang w:eastAsia="ar-SA"/>
        </w:rPr>
        <w:t>的预期用途应体现临床适应症和作用范围。例如</w:t>
      </w:r>
      <w:r>
        <w:rPr>
          <w:rFonts w:hint="eastAsia" w:eastAsia="仿宋_GB2312"/>
          <w:color w:val="000000"/>
          <w:kern w:val="1"/>
          <w:sz w:val="32"/>
          <w:szCs w:val="28"/>
          <w:lang w:eastAsia="zh-CN"/>
        </w:rPr>
        <w:t>，</w:t>
      </w:r>
      <w:r>
        <w:rPr>
          <w:rFonts w:hint="eastAsia" w:eastAsia="仿宋_GB2312"/>
          <w:color w:val="000000"/>
          <w:kern w:val="1"/>
          <w:sz w:val="32"/>
          <w:szCs w:val="28"/>
        </w:rPr>
        <w:t>牙科喷砂粉需与专用</w:t>
      </w:r>
      <w:r>
        <w:rPr>
          <w:rFonts w:hint="eastAsia" w:eastAsia="仿宋_GB2312"/>
          <w:color w:val="000000"/>
          <w:kern w:val="1"/>
          <w:sz w:val="32"/>
          <w:szCs w:val="28"/>
          <w:lang w:eastAsia="ar-SA"/>
        </w:rPr>
        <w:t>牙科喷砂洁治设备配套使用，去除牙齿上的的菌斑、色素、软垢及初期结石</w:t>
      </w:r>
      <w:r>
        <w:rPr>
          <w:rFonts w:hint="eastAsia" w:eastAsia="仿宋_GB2312"/>
          <w:color w:val="000000"/>
          <w:kern w:val="1"/>
          <w:sz w:val="32"/>
          <w:szCs w:val="28"/>
        </w:rPr>
        <w:t>，</w:t>
      </w:r>
      <w:r>
        <w:rPr>
          <w:rFonts w:hint="eastAsia" w:eastAsia="仿宋_GB2312"/>
          <w:color w:val="000000"/>
          <w:kern w:val="1"/>
          <w:sz w:val="32"/>
          <w:szCs w:val="28"/>
          <w:lang w:eastAsia="ar-SA"/>
        </w:rPr>
        <w:t>仅限口腔内使用。</w:t>
      </w:r>
    </w:p>
    <w:p>
      <w:pPr>
        <w:numPr>
          <w:ilvl w:val="-1"/>
          <w:numId w:val="0"/>
        </w:numPr>
        <w:spacing w:line="360" w:lineRule="auto"/>
        <w:ind w:left="0" w:leftChars="0" w:right="-67" w:rightChars="-32"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禁忌症应明确产品中可能存在的禁忌症，至少包括已知对牙科喷砂粉所含成分过敏者。</w:t>
      </w:r>
    </w:p>
    <w:p>
      <w:pPr>
        <w:spacing w:line="560" w:lineRule="exact"/>
        <w:ind w:firstLine="640" w:firstLineChars="200"/>
        <w:rPr>
          <w:rFonts w:eastAsia="仿宋_GB2312"/>
          <w:sz w:val="32"/>
          <w:szCs w:val="32"/>
        </w:rPr>
      </w:pPr>
      <w:r>
        <w:rPr>
          <w:rFonts w:hint="eastAsia" w:eastAsia="仿宋_GB2312"/>
          <w:sz w:val="32"/>
          <w:szCs w:val="32"/>
          <w:lang w:val="en-US" w:eastAsia="zh-CN"/>
        </w:rPr>
        <w:t>1.5</w:t>
      </w:r>
      <w:r>
        <w:rPr>
          <w:rFonts w:eastAsia="仿宋_GB2312"/>
          <w:sz w:val="32"/>
          <w:szCs w:val="32"/>
        </w:rPr>
        <w:t>与同类产品或前代产品的比较信息</w:t>
      </w:r>
    </w:p>
    <w:p>
      <w:pPr>
        <w:spacing w:line="560" w:lineRule="exact"/>
        <w:ind w:firstLine="640" w:firstLineChars="200"/>
        <w:rPr>
          <w:rFonts w:eastAsia="仿宋_GB2312"/>
          <w:sz w:val="32"/>
          <w:szCs w:val="32"/>
        </w:rPr>
      </w:pPr>
      <w:r>
        <w:rPr>
          <w:rFonts w:eastAsia="仿宋_GB2312"/>
          <w:sz w:val="32"/>
          <w:szCs w:val="32"/>
        </w:rPr>
        <w:t>应当提供同类产品（国内外已上市）或前代产品（如有）的信息，阐述申请注册产品的研发背景和目的。对于同类产品，应当说明选择其作为研发参考的原因。</w:t>
      </w:r>
    </w:p>
    <w:p>
      <w:pPr>
        <w:spacing w:line="560" w:lineRule="exact"/>
        <w:ind w:firstLine="648" w:firstLineChars="200"/>
        <w:rPr>
          <w:rFonts w:eastAsia="仿宋_GB2312"/>
          <w:spacing w:val="2"/>
          <w:sz w:val="32"/>
          <w:szCs w:val="32"/>
        </w:rPr>
      </w:pPr>
      <w:r>
        <w:rPr>
          <w:rFonts w:eastAsia="仿宋_GB2312"/>
          <w:spacing w:val="2"/>
          <w:sz w:val="32"/>
          <w:szCs w:val="32"/>
        </w:rPr>
        <w:t>申请人应综述同类产品国内外研究及临床使用现状及发展趋势。同时列表比较说明申报产品与参考产品（同类产品或前代产品）在材料结构组成、性能指标、适用范围、应用技术等方面的异同。</w:t>
      </w:r>
      <w:r>
        <w:rPr>
          <w:rFonts w:eastAsia="仿宋_GB2312"/>
          <w:sz w:val="32"/>
          <w:szCs w:val="32"/>
        </w:rPr>
        <w:t>明确产品有无使用了新材料、新的活性成分、新技术、新设计或具有新作用机理、新功能。</w:t>
      </w:r>
    </w:p>
    <w:p>
      <w:pPr>
        <w:spacing w:line="360" w:lineRule="auto"/>
        <w:ind w:right="-67" w:rightChars="-32" w:firstLine="640" w:firstLineChars="200"/>
        <w:rPr>
          <w:rFonts w:eastAsia="楷体_GB2312"/>
          <w:color w:val="000000"/>
          <w:sz w:val="32"/>
          <w:szCs w:val="32"/>
        </w:rPr>
      </w:pPr>
      <w:r>
        <w:rPr>
          <w:rFonts w:hint="eastAsia" w:eastAsia="仿宋_GB2312"/>
          <w:color w:val="000000"/>
          <w:kern w:val="1"/>
          <w:sz w:val="32"/>
          <w:szCs w:val="28"/>
          <w:lang w:val="en-US" w:eastAsia="zh-CN"/>
        </w:rPr>
        <w:t>1.6</w:t>
      </w:r>
      <w:r>
        <w:rPr>
          <w:rFonts w:eastAsia="楷体_GB2312"/>
          <w:color w:val="000000"/>
          <w:sz w:val="32"/>
          <w:szCs w:val="32"/>
        </w:rPr>
        <w:t>产品的不良事件历史记录</w:t>
      </w:r>
    </w:p>
    <w:p>
      <w:pPr>
        <w:suppressAutoHyphens/>
        <w:spacing w:line="360" w:lineRule="auto"/>
        <w:ind w:firstLine="640" w:firstLineChars="200"/>
        <w:rPr>
          <w:rFonts w:eastAsia="仿宋_GB2312"/>
          <w:color w:val="000000" w:themeColor="text1"/>
          <w:kern w:val="1"/>
          <w:sz w:val="32"/>
          <w:szCs w:val="28"/>
          <w14:textFill>
            <w14:solidFill>
              <w14:schemeClr w14:val="tx1"/>
            </w14:solidFill>
          </w14:textFill>
        </w:rPr>
      </w:pPr>
      <w:r>
        <w:rPr>
          <w:rFonts w:eastAsia="仿宋_GB2312"/>
          <w:color w:val="000000" w:themeColor="text1"/>
          <w:kern w:val="1"/>
          <w:sz w:val="32"/>
          <w:szCs w:val="28"/>
          <w:lang w:eastAsia="ar-SA"/>
          <w14:textFill>
            <w14:solidFill>
              <w14:schemeClr w14:val="tx1"/>
            </w14:solidFill>
          </w14:textFill>
        </w:rPr>
        <w:t>制造商应关注相关产品的不良事件记录并提供产品的不良事件监测记录。</w:t>
      </w:r>
    </w:p>
    <w:p>
      <w:pPr>
        <w:suppressAutoHyphens/>
        <w:spacing w:line="360" w:lineRule="auto"/>
        <w:ind w:firstLine="640" w:firstLineChars="200"/>
        <w:rPr>
          <w:rFonts w:eastAsia="楷体_GB2312"/>
          <w:color w:val="000000"/>
          <w:sz w:val="32"/>
          <w:szCs w:val="32"/>
        </w:rPr>
      </w:pPr>
      <w:r>
        <w:rPr>
          <w:rFonts w:eastAsia="仿宋_GB2312"/>
          <w:color w:val="000000" w:themeColor="text1"/>
          <w:kern w:val="1"/>
          <w:sz w:val="32"/>
          <w:szCs w:val="28"/>
          <w:lang w:eastAsia="ar-SA"/>
          <w14:textFill>
            <w14:solidFill>
              <w14:schemeClr w14:val="tx1"/>
            </w14:solidFill>
          </w14:textFill>
        </w:rPr>
        <w:t>如</w:t>
      </w:r>
      <w:r>
        <w:rPr>
          <w:rFonts w:eastAsia="仿宋_GB2312"/>
          <w:color w:val="000000" w:themeColor="text1"/>
          <w:spacing w:val="-10"/>
          <w:kern w:val="32"/>
          <w:sz w:val="32"/>
          <w:szCs w:val="28"/>
          <w:lang w:eastAsia="ar-SA"/>
          <w14:textFill>
            <w14:solidFill>
              <w14:schemeClr w14:val="tx1"/>
            </w14:solidFill>
          </w14:textFill>
        </w:rPr>
        <w:t>上市后发生了召回，应当说明召回原因、过程和处理结果。</w:t>
      </w:r>
    </w:p>
    <w:p>
      <w:pPr>
        <w:numPr>
          <w:ilvl w:val="0"/>
          <w:numId w:val="1"/>
        </w:numPr>
        <w:spacing w:line="360" w:lineRule="auto"/>
        <w:ind w:left="0" w:leftChars="0" w:right="-67" w:rightChars="-32" w:firstLine="640" w:firstLineChars="200"/>
        <w:rPr>
          <w:rFonts w:hint="eastAsia" w:eastAsia="仿宋_GB2312"/>
          <w:color w:val="000000"/>
          <w:kern w:val="1"/>
          <w:sz w:val="32"/>
          <w:szCs w:val="28"/>
          <w:lang w:val="en-US" w:eastAsia="zh-CN"/>
        </w:rPr>
      </w:pPr>
      <w:r>
        <w:rPr>
          <w:rFonts w:hint="eastAsia" w:eastAsia="仿宋_GB2312"/>
          <w:color w:val="000000"/>
          <w:kern w:val="1"/>
          <w:sz w:val="32"/>
          <w:szCs w:val="28"/>
          <w:lang w:val="en-US" w:eastAsia="zh-CN"/>
        </w:rPr>
        <w:t>非临床资料</w:t>
      </w:r>
    </w:p>
    <w:p>
      <w:pPr>
        <w:numPr>
          <w:ilvl w:val="0"/>
          <w:numId w:val="3"/>
        </w:numPr>
        <w:spacing w:line="360" w:lineRule="auto"/>
        <w:ind w:left="740" w:leftChars="0" w:right="-67" w:rightChars="-32" w:firstLine="0" w:firstLineChars="0"/>
        <w:rPr>
          <w:rFonts w:eastAsia="楷体_GB2312"/>
          <w:bCs/>
          <w:color w:val="000000"/>
          <w:sz w:val="32"/>
          <w:szCs w:val="32"/>
        </w:rPr>
      </w:pPr>
      <w:r>
        <w:rPr>
          <w:rFonts w:eastAsia="楷体_GB2312"/>
          <w:bCs/>
          <w:color w:val="000000"/>
          <w:sz w:val="32"/>
          <w:szCs w:val="32"/>
        </w:rPr>
        <w:t>产品风险</w:t>
      </w:r>
      <w:r>
        <w:rPr>
          <w:rFonts w:hint="eastAsia" w:eastAsia="楷体_GB2312"/>
          <w:bCs/>
          <w:color w:val="000000"/>
          <w:sz w:val="32"/>
          <w:szCs w:val="32"/>
        </w:rPr>
        <w:t>管理</w:t>
      </w:r>
      <w:r>
        <w:rPr>
          <w:rFonts w:eastAsia="楷体_GB2312"/>
          <w:bCs/>
          <w:color w:val="000000"/>
          <w:sz w:val="32"/>
          <w:szCs w:val="32"/>
        </w:rPr>
        <w:t>资料</w:t>
      </w:r>
    </w:p>
    <w:p>
      <w:pPr>
        <w:spacing w:line="360" w:lineRule="auto"/>
        <w:ind w:firstLine="630"/>
        <w:rPr>
          <w:rFonts w:eastAsia="仿宋_GB2312"/>
          <w:color w:val="000000"/>
          <w:sz w:val="32"/>
          <w:szCs w:val="32"/>
        </w:rPr>
      </w:pPr>
      <w:r>
        <w:rPr>
          <w:rFonts w:ascii="仿宋_GB2312" w:eastAsia="仿宋_GB2312"/>
          <w:bCs/>
          <w:color w:val="000000"/>
          <w:sz w:val="32"/>
          <w:szCs w:val="32"/>
        </w:rPr>
        <w:t>应按照YY/T 0316《医</w:t>
      </w:r>
      <w:r>
        <w:rPr>
          <w:rFonts w:eastAsia="仿宋_GB2312"/>
          <w:color w:val="000000"/>
          <w:sz w:val="32"/>
          <w:szCs w:val="32"/>
        </w:rPr>
        <w:t>疗器械 风险管理对医疗器械的应用》标准的要求，针对</w:t>
      </w:r>
      <w:r>
        <w:rPr>
          <w:rFonts w:hint="eastAsia" w:eastAsia="仿宋_GB2312"/>
          <w:color w:val="000000"/>
          <w:sz w:val="32"/>
          <w:szCs w:val="32"/>
          <w:lang w:val="en-US" w:eastAsia="zh-CN"/>
        </w:rPr>
        <w:t>牙科喷砂粉</w:t>
      </w:r>
      <w:r>
        <w:rPr>
          <w:rFonts w:eastAsia="仿宋_GB2312"/>
          <w:color w:val="000000"/>
          <w:sz w:val="32"/>
          <w:szCs w:val="32"/>
        </w:rPr>
        <w:t>的安全特征，从生物学危害、操作危害、信息危害</w:t>
      </w:r>
      <w:r>
        <w:rPr>
          <w:rFonts w:hint="eastAsia" w:eastAsia="仿宋_GB2312"/>
          <w:color w:val="000000"/>
          <w:sz w:val="32"/>
          <w:szCs w:val="32"/>
          <w:lang w:eastAsia="zh-CN"/>
        </w:rPr>
        <w:t>、</w:t>
      </w:r>
      <w:r>
        <w:rPr>
          <w:rFonts w:hint="eastAsia" w:eastAsia="仿宋_GB2312"/>
          <w:color w:val="000000"/>
          <w:sz w:val="32"/>
          <w:szCs w:val="32"/>
          <w:lang w:val="en-US" w:eastAsia="zh-CN"/>
        </w:rPr>
        <w:t>其他危害</w:t>
      </w:r>
      <w:r>
        <w:rPr>
          <w:rFonts w:eastAsia="仿宋_GB2312"/>
          <w:color w:val="000000"/>
          <w:sz w:val="32"/>
          <w:szCs w:val="32"/>
        </w:rPr>
        <w:t>等方面，对产品风险进行全面分析并阐述相应的防范措施，风险管理资料</w:t>
      </w:r>
      <w:r>
        <w:rPr>
          <w:rFonts w:hint="eastAsia" w:eastAsia="仿宋_GB2312"/>
          <w:color w:val="000000"/>
          <w:sz w:val="32"/>
          <w:szCs w:val="32"/>
        </w:rPr>
        <w:t>关注点</w:t>
      </w:r>
      <w:r>
        <w:rPr>
          <w:rFonts w:eastAsia="仿宋_GB2312"/>
          <w:color w:val="000000"/>
          <w:sz w:val="32"/>
          <w:szCs w:val="32"/>
        </w:rPr>
        <w:t>可参考附</w:t>
      </w:r>
      <w:r>
        <w:rPr>
          <w:rFonts w:hint="eastAsia" w:eastAsia="仿宋_GB2312"/>
          <w:color w:val="000000"/>
          <w:sz w:val="32"/>
          <w:szCs w:val="32"/>
        </w:rPr>
        <w:t>录</w:t>
      </w:r>
      <w:r>
        <w:rPr>
          <w:rFonts w:eastAsia="仿宋_GB2312"/>
          <w:color w:val="000000"/>
          <w:sz w:val="32"/>
          <w:szCs w:val="32"/>
        </w:rPr>
        <w:t>。</w:t>
      </w:r>
    </w:p>
    <w:p>
      <w:pPr>
        <w:numPr>
          <w:ilvl w:val="-1"/>
          <w:numId w:val="0"/>
        </w:numPr>
        <w:spacing w:line="360" w:lineRule="auto"/>
        <w:ind w:left="740" w:firstLine="0" w:firstLineChars="0"/>
        <w:outlineLvl w:val="1"/>
        <w:rPr>
          <w:rFonts w:eastAsia="楷体_GB2312"/>
          <w:bCs/>
          <w:color w:val="000000"/>
          <w:sz w:val="32"/>
          <w:szCs w:val="32"/>
        </w:rPr>
      </w:pPr>
      <w:r>
        <w:rPr>
          <w:rFonts w:hint="eastAsia" w:eastAsia="楷体_GB2312"/>
          <w:bCs/>
          <w:color w:val="000000"/>
          <w:sz w:val="32"/>
          <w:szCs w:val="32"/>
          <w:lang w:val="en-US" w:eastAsia="zh-CN"/>
        </w:rPr>
        <w:t>2.</w:t>
      </w:r>
      <w:r>
        <w:rPr>
          <w:rFonts w:eastAsia="楷体_GB2312"/>
          <w:bCs/>
          <w:color w:val="000000"/>
          <w:sz w:val="32"/>
          <w:szCs w:val="32"/>
        </w:rPr>
        <w:t>产品技术要求</w:t>
      </w:r>
    </w:p>
    <w:p>
      <w:pPr>
        <w:suppressAutoHyphens/>
        <w:spacing w:line="360" w:lineRule="auto"/>
        <w:ind w:firstLine="640" w:firstLineChars="200"/>
        <w:rPr>
          <w:rFonts w:eastAsia="仿宋_GB2312"/>
          <w:color w:val="000000"/>
          <w:kern w:val="1"/>
          <w:sz w:val="32"/>
          <w:szCs w:val="28"/>
          <w:lang w:eastAsia="ar-SA"/>
        </w:rPr>
      </w:pPr>
      <w:r>
        <w:rPr>
          <w:rFonts w:hint="eastAsia" w:eastAsia="仿宋_GB2312"/>
          <w:color w:val="000000"/>
          <w:kern w:val="1"/>
          <w:sz w:val="32"/>
          <w:szCs w:val="28"/>
          <w:lang w:eastAsia="ar-SA"/>
        </w:rPr>
        <w:t>申请人应结合产品的技术特征和临床产品特点，</w:t>
      </w:r>
      <w:r>
        <w:rPr>
          <w:rFonts w:eastAsia="仿宋_GB2312"/>
          <w:color w:val="000000"/>
          <w:sz w:val="32"/>
          <w:szCs w:val="32"/>
        </w:rPr>
        <w:t>按照《医疗器械产品技术要求编写指导原则》</w:t>
      </w:r>
      <w:r>
        <w:rPr>
          <w:rFonts w:hint="eastAsia" w:eastAsia="仿宋_GB2312"/>
          <w:color w:val="000000"/>
          <w:sz w:val="32"/>
          <w:szCs w:val="32"/>
        </w:rPr>
        <w:t>（</w:t>
      </w:r>
      <w:r>
        <w:rPr>
          <w:rFonts w:eastAsia="仿宋_GB2312"/>
          <w:color w:val="000000"/>
          <w:sz w:val="32"/>
          <w:szCs w:val="32"/>
        </w:rPr>
        <w:t>国家食品药品监督管理</w:t>
      </w:r>
      <w:r>
        <w:rPr>
          <w:rFonts w:hint="eastAsia" w:eastAsia="仿宋_GB2312"/>
          <w:color w:val="000000"/>
          <w:sz w:val="32"/>
          <w:szCs w:val="32"/>
        </w:rPr>
        <w:t>总</w:t>
      </w:r>
      <w:r>
        <w:rPr>
          <w:rFonts w:hint="eastAsia" w:ascii="仿宋_GB2312" w:eastAsia="仿宋_GB2312"/>
          <w:bCs/>
          <w:color w:val="000000"/>
          <w:sz w:val="32"/>
          <w:szCs w:val="32"/>
        </w:rPr>
        <w:t>局2014年第9号通告）</w:t>
      </w:r>
      <w:r>
        <w:rPr>
          <w:rFonts w:ascii="仿宋_GB2312" w:eastAsia="仿宋_GB2312"/>
          <w:bCs/>
          <w:color w:val="000000"/>
          <w:sz w:val="32"/>
          <w:szCs w:val="32"/>
        </w:rPr>
        <w:t>编制产品技术要求</w:t>
      </w:r>
      <w:r>
        <w:rPr>
          <w:rFonts w:hint="eastAsia" w:ascii="仿宋_GB2312" w:eastAsia="仿宋_GB2312"/>
          <w:bCs/>
          <w:color w:val="000000"/>
          <w:sz w:val="32"/>
          <w:szCs w:val="32"/>
          <w:lang w:eastAsia="zh-CN"/>
        </w:rPr>
        <w:t>，</w:t>
      </w:r>
      <w:r>
        <w:rPr>
          <w:rFonts w:hint="eastAsia" w:ascii="仿宋_GB2312" w:eastAsia="仿宋_GB2312"/>
          <w:bCs/>
          <w:color w:val="000000"/>
          <w:sz w:val="32"/>
          <w:szCs w:val="32"/>
          <w:lang w:val="en-US" w:eastAsia="zh-CN"/>
        </w:rPr>
        <w:t>可</w:t>
      </w:r>
      <w:r>
        <w:rPr>
          <w:rFonts w:hint="eastAsia" w:eastAsia="仿宋_GB2312"/>
          <w:color w:val="000000"/>
          <w:kern w:val="1"/>
          <w:sz w:val="32"/>
          <w:szCs w:val="28"/>
          <w:lang w:eastAsia="ar-SA"/>
        </w:rPr>
        <w:t>参照现行有效的国家标准、行业标准来确定产品安全有效、质量可控的性能指标与检验方法。产品技术要求中应明确规格型号及其划分的说明、产品描述的一般信息（原材料、组成成分及百分含量、尺寸结构</w:t>
      </w:r>
      <w:r>
        <w:rPr>
          <w:rFonts w:hint="eastAsia" w:eastAsia="仿宋_GB2312"/>
          <w:color w:val="000000"/>
          <w:kern w:val="1"/>
          <w:sz w:val="32"/>
          <w:szCs w:val="28"/>
          <w:lang w:eastAsia="zh-CN"/>
        </w:rPr>
        <w:t>、</w:t>
      </w:r>
      <w:r>
        <w:rPr>
          <w:rFonts w:hint="eastAsia" w:eastAsia="仿宋_GB2312"/>
          <w:color w:val="000000"/>
          <w:kern w:val="1"/>
          <w:sz w:val="32"/>
          <w:szCs w:val="28"/>
          <w:lang w:val="en-US" w:eastAsia="zh-CN"/>
        </w:rPr>
        <w:t>装载量</w:t>
      </w:r>
      <w:r>
        <w:rPr>
          <w:rFonts w:hint="eastAsia" w:eastAsia="仿宋_GB2312"/>
          <w:color w:val="000000"/>
          <w:kern w:val="1"/>
          <w:sz w:val="32"/>
          <w:szCs w:val="28"/>
          <w:lang w:eastAsia="ar-SA"/>
        </w:rPr>
        <w:t>等）、产品性能指标及试验方法。对产品技术要求中所有的试验项目（理化性能）所采用的试验方法进行简要描述。若采用公认标准中的试验方法，可直接引用该方法，标明相应标准的编号</w:t>
      </w:r>
      <w:r>
        <w:rPr>
          <w:rFonts w:eastAsia="仿宋_GB2312"/>
          <w:color w:val="000000"/>
          <w:kern w:val="1"/>
          <w:sz w:val="32"/>
          <w:szCs w:val="28"/>
          <w:lang w:eastAsia="ar-SA"/>
        </w:rPr>
        <w:t>。应对产品技术要求的内容是否齐全进行审查，然后通过对检验报告内容的审查来评价产品主要技术性能指标是否达到了要求。</w:t>
      </w:r>
    </w:p>
    <w:p>
      <w:pPr>
        <w:overflowPunct w:val="0"/>
        <w:spacing w:line="360" w:lineRule="auto"/>
        <w:ind w:firstLine="640" w:firstLineChars="200"/>
        <w:rPr>
          <w:rFonts w:hint="eastAsia" w:eastAsia="仿宋_GB2312"/>
          <w:color w:val="000000" w:themeColor="text1"/>
          <w:sz w:val="32"/>
          <w:szCs w:val="32"/>
          <w:lang w:val="en-US" w:eastAsia="zh-CN"/>
          <w14:textFill>
            <w14:solidFill>
              <w14:schemeClr w14:val="tx1"/>
            </w14:solidFill>
          </w14:textFill>
        </w:rPr>
      </w:pPr>
      <w:r>
        <w:rPr>
          <w:rFonts w:eastAsia="仿宋_GB2312"/>
          <w:color w:val="000000" w:themeColor="text1"/>
          <w:sz w:val="32"/>
          <w:szCs w:val="32"/>
          <w14:textFill>
            <w14:solidFill>
              <w14:schemeClr w14:val="tx1"/>
            </w14:solidFill>
          </w14:textFill>
        </w:rPr>
        <w:t>本章给出牙科</w:t>
      </w:r>
      <w:r>
        <w:rPr>
          <w:rFonts w:hint="eastAsia" w:eastAsia="仿宋_GB2312"/>
          <w:color w:val="000000" w:themeColor="text1"/>
          <w:sz w:val="32"/>
          <w:szCs w:val="32"/>
          <w14:textFill>
            <w14:solidFill>
              <w14:schemeClr w14:val="tx1"/>
            </w14:solidFill>
          </w14:textFill>
        </w:rPr>
        <w:t>喷砂粉</w:t>
      </w:r>
      <w:r>
        <w:rPr>
          <w:rFonts w:eastAsia="仿宋_GB2312"/>
          <w:color w:val="000000" w:themeColor="text1"/>
          <w:sz w:val="32"/>
          <w:szCs w:val="32"/>
          <w14:textFill>
            <w14:solidFill>
              <w14:schemeClr w14:val="tx1"/>
            </w14:solidFill>
          </w14:textFill>
        </w:rPr>
        <w:t>需要考虑的基本技术性能指标，</w:t>
      </w:r>
      <w:r>
        <w:rPr>
          <w:rFonts w:hint="eastAsia" w:eastAsia="仿宋_GB2312"/>
          <w:color w:val="000000" w:themeColor="text1"/>
          <w:sz w:val="32"/>
          <w:szCs w:val="32"/>
          <w14:textFill>
            <w14:solidFill>
              <w14:schemeClr w14:val="tx1"/>
            </w14:solidFill>
          </w14:textFill>
        </w:rPr>
        <w:t>建议考虑但不限于</w:t>
      </w:r>
      <w:r>
        <w:rPr>
          <w:rFonts w:hint="default" w:eastAsia="仿宋_GB2312"/>
          <w:color w:val="000000" w:themeColor="text1"/>
          <w:sz w:val="32"/>
          <w:szCs w:val="32"/>
          <w:lang w:val="en-US" w:eastAsia="zh-CN"/>
          <w14:textFill>
            <w14:solidFill>
              <w14:schemeClr w14:val="tx1"/>
            </w14:solidFill>
          </w14:textFill>
        </w:rPr>
        <w:t>YY/T 1755《牙科学 喷砂手机和喷砂粉》</w:t>
      </w:r>
      <w:r>
        <w:rPr>
          <w:rFonts w:hint="eastAsia" w:eastAsia="仿宋_GB2312"/>
          <w:bCs/>
          <w:color w:val="000000" w:themeColor="text1"/>
          <w:sz w:val="32"/>
          <w:szCs w:val="32"/>
          <w:lang w:val="en-US" w:eastAsia="zh-CN"/>
          <w14:textFill>
            <w14:solidFill>
              <w14:schemeClr w14:val="tx1"/>
            </w14:solidFill>
          </w14:textFill>
        </w:rPr>
        <w:t>标准的要求</w:t>
      </w:r>
      <w:r>
        <w:rPr>
          <w:rFonts w:eastAsia="仿宋_GB2312"/>
          <w:color w:val="000000" w:themeColor="text1"/>
          <w:sz w:val="32"/>
          <w:szCs w:val="32"/>
          <w14:textFill>
            <w14:solidFill>
              <w14:schemeClr w14:val="tx1"/>
            </w14:solidFill>
          </w14:textFill>
        </w:rPr>
        <w:t>，根据企业自身产品的技术特点和用途制定相应的性能指标。如有不适用条款，应在研究资料中说明理由。性能指标至少应包括以下几点</w:t>
      </w:r>
      <w:r>
        <w:rPr>
          <w:rFonts w:hint="eastAsia"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具体要求如下：</w:t>
      </w:r>
    </w:p>
    <w:p>
      <w:pPr>
        <w:numPr>
          <w:ilvl w:val="-1"/>
          <w:numId w:val="0"/>
        </w:numPr>
        <w:overflowPunct w:val="0"/>
        <w:spacing w:line="360" w:lineRule="auto"/>
        <w:ind w:firstLine="420" w:firstLineChars="200"/>
        <w:rPr>
          <w:rFonts w:hint="eastAsia" w:eastAsia="仿宋_GB2312"/>
          <w:color w:val="000000" w:themeColor="text1"/>
          <w:sz w:val="32"/>
          <w:szCs w:val="32"/>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eastAsia="仿宋_GB2312"/>
          <w:color w:val="000000" w:themeColor="text1"/>
          <w:sz w:val="32"/>
          <w:szCs w:val="32"/>
          <w:lang w:val="en-US" w:eastAsia="zh-CN"/>
          <w14:textFill>
            <w14:solidFill>
              <w14:schemeClr w14:val="tx1"/>
            </w14:solidFill>
          </w14:textFill>
        </w:rPr>
        <w:t xml:space="preserve">2.1 </w:t>
      </w:r>
      <w:r>
        <w:rPr>
          <w:rFonts w:hint="eastAsia" w:eastAsia="仿宋_GB2312"/>
          <w:color w:val="000000" w:themeColor="text1"/>
          <w:sz w:val="32"/>
          <w:szCs w:val="32"/>
          <w14:textFill>
            <w14:solidFill>
              <w14:schemeClr w14:val="tx1"/>
            </w14:solidFill>
          </w14:textFill>
        </w:rPr>
        <w:t>外观</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2.2 </w:t>
      </w:r>
      <w:r>
        <w:rPr>
          <w:rFonts w:hint="eastAsia" w:eastAsia="仿宋_GB2312"/>
          <w:color w:val="000000" w:themeColor="text1"/>
          <w:sz w:val="32"/>
          <w:szCs w:val="32"/>
          <w14:textFill>
            <w14:solidFill>
              <w14:schemeClr w14:val="tx1"/>
            </w14:solidFill>
          </w14:textFill>
        </w:rPr>
        <w:t>气味</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2.3 </w:t>
      </w:r>
      <w:r>
        <w:rPr>
          <w:rFonts w:hint="eastAsia" w:eastAsia="仿宋_GB2312"/>
          <w:color w:val="000000" w:themeColor="text1"/>
          <w:sz w:val="32"/>
          <w:szCs w:val="32"/>
          <w14:textFill>
            <w14:solidFill>
              <w14:schemeClr w14:val="tx1"/>
            </w14:solidFill>
          </w14:textFill>
        </w:rPr>
        <w:t>净含量</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2.4  </w:t>
      </w:r>
      <w:r>
        <w:rPr>
          <w:rFonts w:hint="eastAsia" w:eastAsia="仿宋_GB2312"/>
          <w:color w:val="000000" w:themeColor="text1"/>
          <w:sz w:val="32"/>
          <w:szCs w:val="32"/>
          <w14:textFill>
            <w14:solidFill>
              <w14:schemeClr w14:val="tx1"/>
            </w14:solidFill>
          </w14:textFill>
        </w:rPr>
        <w:t>PH</w:t>
      </w:r>
      <w:r>
        <w:rPr>
          <w:rFonts w:hint="eastAsia" w:eastAsia="仿宋_GB2312"/>
          <w:color w:val="000000" w:themeColor="text1"/>
          <w:sz w:val="32"/>
          <w:szCs w:val="32"/>
          <w:lang w:val="en-US" w:eastAsia="zh-CN"/>
          <w14:textFill>
            <w14:solidFill>
              <w14:schemeClr w14:val="tx1"/>
            </w14:solidFill>
          </w14:textFill>
        </w:rPr>
        <w:t>值</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2.5 </w:t>
      </w:r>
      <w:r>
        <w:rPr>
          <w:rFonts w:hint="eastAsia" w:eastAsia="仿宋_GB2312"/>
          <w:color w:val="000000" w:themeColor="text1"/>
          <w:sz w:val="32"/>
          <w:szCs w:val="32"/>
          <w14:textFill>
            <w14:solidFill>
              <w14:schemeClr w14:val="tx1"/>
            </w14:solidFill>
          </w14:textFill>
        </w:rPr>
        <w:t>粒径</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2.6 </w:t>
      </w:r>
      <w:r>
        <w:rPr>
          <w:rFonts w:hint="eastAsia" w:eastAsia="仿宋_GB2312"/>
          <w:color w:val="000000" w:themeColor="text1"/>
          <w:sz w:val="32"/>
          <w:szCs w:val="32"/>
          <w14:textFill>
            <w14:solidFill>
              <w14:schemeClr w14:val="tx1"/>
            </w14:solidFill>
          </w14:textFill>
        </w:rPr>
        <w:t>流动性</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2.7 </w:t>
      </w:r>
      <w:r>
        <w:rPr>
          <w:rFonts w:hint="eastAsia" w:eastAsia="仿宋_GB2312"/>
          <w:color w:val="000000" w:themeColor="text1"/>
          <w:sz w:val="32"/>
          <w:szCs w:val="32"/>
          <w14:textFill>
            <w14:solidFill>
              <w14:schemeClr w14:val="tx1"/>
            </w14:solidFill>
          </w14:textFill>
        </w:rPr>
        <w:t>堆积密度、真密度、表现密度</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2.8 </w:t>
      </w:r>
      <w:r>
        <w:rPr>
          <w:rFonts w:hint="eastAsia" w:eastAsia="仿宋_GB2312"/>
          <w:color w:val="000000" w:themeColor="text1"/>
          <w:sz w:val="32"/>
          <w:szCs w:val="32"/>
          <w14:textFill>
            <w14:solidFill>
              <w14:schemeClr w14:val="tx1"/>
            </w14:solidFill>
          </w14:textFill>
        </w:rPr>
        <w:t>重金属、砷盐</w:t>
      </w:r>
      <w:r>
        <w:rPr>
          <w:rFonts w:hint="eastAsia"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铵盐</w:t>
      </w:r>
    </w:p>
    <w:p>
      <w:pPr>
        <w:numPr>
          <w:ilvl w:val="-1"/>
          <w:numId w:val="0"/>
        </w:num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2.9 </w:t>
      </w:r>
      <w:r>
        <w:rPr>
          <w:rFonts w:hint="eastAsia" w:eastAsia="仿宋_GB2312"/>
          <w:color w:val="000000" w:themeColor="text1"/>
          <w:sz w:val="32"/>
          <w:szCs w:val="32"/>
          <w14:textFill>
            <w14:solidFill>
              <w14:schemeClr w14:val="tx1"/>
            </w14:solidFill>
          </w14:textFill>
        </w:rPr>
        <w:t>化学成分、主要成分含量</w:t>
      </w:r>
    </w:p>
    <w:p>
      <w:p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 xml:space="preserve">2.10 </w:t>
      </w:r>
      <w:r>
        <w:rPr>
          <w:rFonts w:hint="eastAsia" w:eastAsia="仿宋_GB2312"/>
          <w:color w:val="000000" w:themeColor="text1"/>
          <w:sz w:val="32"/>
          <w:szCs w:val="32"/>
          <w14:textFill>
            <w14:solidFill>
              <w14:schemeClr w14:val="tx1"/>
            </w14:solidFill>
          </w14:textFill>
        </w:rPr>
        <w:t>微生物限度</w:t>
      </w:r>
    </w:p>
    <w:p>
      <w:pPr>
        <w:numPr>
          <w:ilvl w:val="-1"/>
          <w:numId w:val="0"/>
        </w:numPr>
        <w:spacing w:line="360" w:lineRule="auto"/>
        <w:ind w:left="0" w:firstLine="640" w:firstLineChars="200"/>
        <w:outlineLvl w:val="1"/>
        <w:rPr>
          <w:rFonts w:hint="eastAsia" w:eastAsia="楷体_GB2312"/>
          <w:bCs/>
          <w:color w:val="000000"/>
          <w:sz w:val="32"/>
          <w:szCs w:val="32"/>
        </w:rPr>
      </w:pPr>
      <w:r>
        <w:rPr>
          <w:rFonts w:hint="eastAsia" w:eastAsia="楷体_GB2312"/>
          <w:bCs/>
          <w:color w:val="000000"/>
          <w:sz w:val="32"/>
          <w:szCs w:val="32"/>
          <w:lang w:val="en-US" w:eastAsia="zh-CN"/>
        </w:rPr>
        <w:t>3.</w:t>
      </w:r>
      <w:r>
        <w:rPr>
          <w:rFonts w:hint="eastAsia" w:eastAsia="楷体_GB2312"/>
          <w:bCs/>
          <w:color w:val="000000"/>
          <w:sz w:val="32"/>
          <w:szCs w:val="32"/>
        </w:rPr>
        <w:t>同一注册单元内注册检验典型性产品确定原则和实例</w:t>
      </w:r>
    </w:p>
    <w:p>
      <w:pPr>
        <w:overflowPunct w:val="0"/>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同一注册单元应按产品风险与技术指标的覆盖性确定典型产品。典型产品应是同一注册单元内能够代表本单元内其他产品安全性和有效性的产品，即结构</w:t>
      </w:r>
      <w:r>
        <w:rPr>
          <w:rFonts w:hint="eastAsia" w:eastAsia="仿宋_GB2312"/>
          <w:color w:val="000000" w:themeColor="text1"/>
          <w:sz w:val="32"/>
          <w:szCs w:val="32"/>
          <w14:textFill>
            <w14:solidFill>
              <w14:schemeClr w14:val="tx1"/>
            </w14:solidFill>
          </w14:textFill>
        </w:rPr>
        <w:t>组成</w:t>
      </w:r>
      <w:r>
        <w:rPr>
          <w:rFonts w:eastAsia="仿宋_GB2312"/>
          <w:color w:val="000000" w:themeColor="text1"/>
          <w:sz w:val="32"/>
          <w:szCs w:val="32"/>
          <w14:textFill>
            <w14:solidFill>
              <w14:schemeClr w14:val="tx1"/>
            </w14:solidFill>
          </w14:textFill>
        </w:rPr>
        <w:t>最复杂和风险最高的产品。同一注册单元中典型产品与被覆盖型号产品间有差异时，应做差异化检验。实施检测时可以针对差异部分和由其引起产品其他相关安全性、有效性变化的部分进行检测。如两个型号的</w:t>
      </w:r>
      <w:r>
        <w:rPr>
          <w:rFonts w:hint="eastAsia" w:eastAsia="仿宋_GB2312"/>
          <w:color w:val="000000" w:themeColor="text1"/>
          <w:sz w:val="32"/>
          <w:szCs w:val="32"/>
          <w14:textFill>
            <w14:solidFill>
              <w14:schemeClr w14:val="tx1"/>
            </w14:solidFill>
          </w14:textFill>
        </w:rPr>
        <w:t>牙科喷砂粉</w:t>
      </w:r>
      <w:r>
        <w:rPr>
          <w:rFonts w:eastAsia="仿宋_GB2312"/>
          <w:color w:val="000000" w:themeColor="text1"/>
          <w:sz w:val="32"/>
          <w:szCs w:val="32"/>
          <w14:textFill>
            <w14:solidFill>
              <w14:schemeClr w14:val="tx1"/>
            </w14:solidFill>
          </w14:textFill>
        </w:rPr>
        <w:t>，其主要性能指标一致，一个型号</w:t>
      </w:r>
      <w:r>
        <w:rPr>
          <w:rFonts w:hint="eastAsia" w:eastAsia="仿宋_GB2312"/>
          <w:color w:val="000000" w:themeColor="text1"/>
          <w:sz w:val="32"/>
          <w:szCs w:val="32"/>
          <w14:textFill>
            <w14:solidFill>
              <w14:schemeClr w14:val="tx1"/>
            </w14:solidFill>
          </w14:textFill>
        </w:rPr>
        <w:t>组成成分有</w:t>
      </w:r>
      <w:r>
        <w:rPr>
          <w:rFonts w:hint="eastAsia" w:eastAsia="仿宋_GB2312"/>
          <w:color w:val="000000" w:themeColor="text1"/>
          <w:sz w:val="32"/>
          <w:szCs w:val="32"/>
          <w:lang w:eastAsia="zh-CN"/>
          <w14:textFill>
            <w14:solidFill>
              <w14:schemeClr w14:val="tx1"/>
            </w14:solidFill>
          </w14:textFill>
        </w:rPr>
        <w:t>添加剂</w:t>
      </w:r>
      <w:r>
        <w:rPr>
          <w:rFonts w:eastAsia="仿宋_GB2312"/>
          <w:color w:val="000000" w:themeColor="text1"/>
          <w:sz w:val="32"/>
          <w:szCs w:val="32"/>
          <w14:textFill>
            <w14:solidFill>
              <w14:schemeClr w14:val="tx1"/>
            </w14:solidFill>
          </w14:textFill>
        </w:rPr>
        <w:t>，另一个型号</w:t>
      </w:r>
      <w:r>
        <w:rPr>
          <w:rFonts w:hint="eastAsia" w:eastAsia="仿宋_GB2312"/>
          <w:color w:val="000000" w:themeColor="text1"/>
          <w:sz w:val="32"/>
          <w:szCs w:val="32"/>
          <w14:textFill>
            <w14:solidFill>
              <w14:schemeClr w14:val="tx1"/>
            </w14:solidFill>
          </w14:textFill>
        </w:rPr>
        <w:t>组成成分没有</w:t>
      </w:r>
      <w:r>
        <w:rPr>
          <w:rFonts w:hint="eastAsia" w:eastAsia="仿宋_GB2312"/>
          <w:color w:val="000000" w:themeColor="text1"/>
          <w:sz w:val="32"/>
          <w:szCs w:val="32"/>
          <w:lang w:eastAsia="zh-CN"/>
          <w14:textFill>
            <w14:solidFill>
              <w14:schemeClr w14:val="tx1"/>
            </w14:solidFill>
          </w14:textFill>
        </w:rPr>
        <w:t>添加剂</w:t>
      </w:r>
      <w:r>
        <w:rPr>
          <w:rFonts w:eastAsia="仿宋_GB2312"/>
          <w:color w:val="000000" w:themeColor="text1"/>
          <w:sz w:val="32"/>
          <w:szCs w:val="32"/>
          <w14:textFill>
            <w14:solidFill>
              <w14:schemeClr w14:val="tx1"/>
            </w14:solidFill>
          </w14:textFill>
        </w:rPr>
        <w:t>，应选取</w:t>
      </w:r>
      <w:r>
        <w:rPr>
          <w:rFonts w:hint="eastAsia" w:eastAsia="仿宋_GB2312"/>
          <w:color w:val="000000" w:themeColor="text1"/>
          <w:sz w:val="32"/>
          <w:szCs w:val="32"/>
          <w14:textFill>
            <w14:solidFill>
              <w14:schemeClr w14:val="tx1"/>
            </w14:solidFill>
          </w14:textFill>
        </w:rPr>
        <w:t>成分有</w:t>
      </w:r>
      <w:r>
        <w:rPr>
          <w:rFonts w:hint="eastAsia" w:eastAsia="仿宋_GB2312"/>
          <w:color w:val="000000" w:themeColor="text1"/>
          <w:sz w:val="32"/>
          <w:szCs w:val="32"/>
          <w:lang w:eastAsia="zh-CN"/>
          <w14:textFill>
            <w14:solidFill>
              <w14:schemeClr w14:val="tx1"/>
            </w14:solidFill>
          </w14:textFill>
        </w:rPr>
        <w:t>添加剂</w:t>
      </w:r>
      <w:r>
        <w:rPr>
          <w:rFonts w:eastAsia="仿宋_GB2312"/>
          <w:color w:val="000000" w:themeColor="text1"/>
          <w:sz w:val="32"/>
          <w:szCs w:val="32"/>
          <w14:textFill>
            <w14:solidFill>
              <w14:schemeClr w14:val="tx1"/>
            </w14:solidFill>
          </w14:textFill>
        </w:rPr>
        <w:t>的型号作为典型产品。</w:t>
      </w:r>
    </w:p>
    <w:p>
      <w:pPr>
        <w:overflowPunct w:val="0"/>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注册检验代表产品，在产品组成成分相同的情况下，选取合适装量的产品作为</w:t>
      </w:r>
      <w:r>
        <w:rPr>
          <w:rFonts w:hint="eastAsia" w:eastAsia="仿宋_GB2312"/>
          <w:color w:val="000000" w:themeColor="text1"/>
          <w:sz w:val="32"/>
          <w:szCs w:val="32"/>
          <w:lang w:val="en-US" w:eastAsia="zh-CN"/>
          <w14:textFill>
            <w14:solidFill>
              <w14:schemeClr w14:val="tx1"/>
            </w14:solidFill>
          </w14:textFill>
        </w:rPr>
        <w:t>代表</w:t>
      </w:r>
      <w:r>
        <w:rPr>
          <w:rFonts w:eastAsia="仿宋_GB2312"/>
          <w:color w:val="000000" w:themeColor="text1"/>
          <w:sz w:val="32"/>
          <w:szCs w:val="32"/>
          <w14:textFill>
            <w14:solidFill>
              <w14:schemeClr w14:val="tx1"/>
            </w14:solidFill>
          </w14:textFill>
        </w:rPr>
        <w:t>产品进行检测。</w:t>
      </w:r>
    </w:p>
    <w:p>
      <w:pPr>
        <w:overflowPunct w:val="0"/>
        <w:spacing w:line="360" w:lineRule="auto"/>
        <w:ind w:firstLine="640" w:firstLineChars="200"/>
        <w:rPr>
          <w:rFonts w:eastAsia="仿宋_GB2312"/>
          <w:color w:val="FF0000"/>
          <w:sz w:val="32"/>
          <w:szCs w:val="32"/>
        </w:rPr>
      </w:pPr>
      <w:r>
        <w:rPr>
          <w:rFonts w:eastAsia="仿宋_GB2312"/>
          <w:color w:val="000000" w:themeColor="text1"/>
          <w:sz w:val="32"/>
          <w:szCs w:val="32"/>
          <w14:textFill>
            <w14:solidFill>
              <w14:schemeClr w14:val="tx1"/>
            </w14:solidFill>
          </w14:textFill>
        </w:rPr>
        <w:t>若产品组成成分相同，</w:t>
      </w:r>
      <w:r>
        <w:rPr>
          <w:rFonts w:hint="eastAsia" w:eastAsia="仿宋_GB2312"/>
          <w:color w:val="000000" w:themeColor="text1"/>
          <w:sz w:val="32"/>
          <w:szCs w:val="32"/>
          <w14:textFill>
            <w14:solidFill>
              <w14:schemeClr w14:val="tx1"/>
            </w14:solidFill>
          </w14:textFill>
        </w:rPr>
        <w:t>其主要性能指标一致，但粒径</w:t>
      </w:r>
      <w:r>
        <w:rPr>
          <w:rFonts w:eastAsia="仿宋_GB2312"/>
          <w:color w:val="000000" w:themeColor="text1"/>
          <w:sz w:val="32"/>
          <w:szCs w:val="32"/>
          <w14:textFill>
            <w14:solidFill>
              <w14:schemeClr w14:val="tx1"/>
            </w14:solidFill>
          </w14:textFill>
        </w:rPr>
        <w:t>存在</w:t>
      </w:r>
      <w:r>
        <w:rPr>
          <w:rFonts w:hint="eastAsia" w:eastAsia="仿宋_GB2312"/>
          <w:color w:val="000000" w:themeColor="text1"/>
          <w:sz w:val="32"/>
          <w:szCs w:val="32"/>
          <w14:textFill>
            <w14:solidFill>
              <w14:schemeClr w14:val="tx1"/>
            </w14:solidFill>
          </w14:textFill>
        </w:rPr>
        <w:t>较大</w:t>
      </w:r>
      <w:r>
        <w:rPr>
          <w:rFonts w:eastAsia="仿宋_GB2312"/>
          <w:color w:val="000000" w:themeColor="text1"/>
          <w:sz w:val="32"/>
          <w:szCs w:val="32"/>
          <w14:textFill>
            <w14:solidFill>
              <w14:schemeClr w14:val="tx1"/>
            </w14:solidFill>
          </w14:textFill>
        </w:rPr>
        <w:t>差异</w:t>
      </w:r>
      <w:r>
        <w:rPr>
          <w:rFonts w:hint="eastAsia" w:eastAsia="仿宋_GB2312"/>
          <w:color w:val="000000" w:themeColor="text1"/>
          <w:sz w:val="32"/>
          <w:szCs w:val="32"/>
          <w14:textFill>
            <w14:solidFill>
              <w14:schemeClr w14:val="tx1"/>
            </w14:solidFill>
          </w14:textFill>
        </w:rPr>
        <w:t>时</w:t>
      </w:r>
      <w:r>
        <w:rPr>
          <w:rFonts w:eastAsia="仿宋_GB2312"/>
          <w:color w:val="000000" w:themeColor="text1"/>
          <w:sz w:val="32"/>
          <w:szCs w:val="32"/>
          <w14:textFill>
            <w14:solidFill>
              <w14:schemeClr w14:val="tx1"/>
            </w14:solidFill>
          </w14:textFill>
        </w:rPr>
        <w:t>，建议</w:t>
      </w:r>
      <w:r>
        <w:rPr>
          <w:rFonts w:hint="eastAsia" w:eastAsia="仿宋_GB2312"/>
          <w:color w:val="000000" w:themeColor="text1"/>
          <w:sz w:val="32"/>
          <w:szCs w:val="32"/>
          <w:lang w:val="en-US" w:eastAsia="zh-CN"/>
          <w14:textFill>
            <w14:solidFill>
              <w14:schemeClr w14:val="tx1"/>
            </w14:solidFill>
          </w14:textFill>
        </w:rPr>
        <w:t>分别</w:t>
      </w:r>
      <w:r>
        <w:rPr>
          <w:rFonts w:hint="eastAsia" w:eastAsia="仿宋_GB2312"/>
          <w:color w:val="000000" w:themeColor="text1"/>
          <w:sz w:val="32"/>
          <w:szCs w:val="32"/>
          <w14:textFill>
            <w14:solidFill>
              <w14:schemeClr w14:val="tx1"/>
            </w14:solidFill>
          </w14:textFill>
        </w:rPr>
        <w:t>进行</w:t>
      </w:r>
      <w:r>
        <w:rPr>
          <w:rFonts w:eastAsia="仿宋_GB2312"/>
          <w:color w:val="000000" w:themeColor="text1"/>
          <w:sz w:val="32"/>
          <w:szCs w:val="32"/>
          <w14:textFill>
            <w14:solidFill>
              <w14:schemeClr w14:val="tx1"/>
            </w14:solidFill>
          </w14:textFill>
        </w:rPr>
        <w:t>检测。</w:t>
      </w:r>
    </w:p>
    <w:p>
      <w:pPr>
        <w:spacing w:line="360" w:lineRule="auto"/>
        <w:ind w:firstLine="630"/>
        <w:rPr>
          <w:rFonts w:hint="eastAsia" w:eastAsia="仿宋_GB2312"/>
          <w:color w:val="000000"/>
          <w:sz w:val="32"/>
          <w:szCs w:val="32"/>
          <w:lang w:val="en-US" w:eastAsia="zh-CN"/>
        </w:rPr>
      </w:pPr>
      <w:r>
        <w:rPr>
          <w:rFonts w:hint="eastAsia" w:eastAsia="仿宋_GB2312"/>
          <w:color w:val="000000"/>
          <w:sz w:val="32"/>
          <w:szCs w:val="32"/>
          <w:lang w:val="en-US" w:eastAsia="zh-CN"/>
        </w:rPr>
        <w:t>4.研究资料</w:t>
      </w:r>
    </w:p>
    <w:p>
      <w:pPr>
        <w:spacing w:line="360" w:lineRule="auto"/>
        <w:ind w:firstLine="640" w:firstLineChars="200"/>
        <w:rPr>
          <w:rFonts w:eastAsia="楷体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应至少包括以下几个方面。</w:t>
      </w:r>
    </w:p>
    <w:p>
      <w:pPr>
        <w:overflowPunct w:val="0"/>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4.1</w:t>
      </w:r>
      <w:r>
        <w:rPr>
          <w:rFonts w:eastAsia="仿宋_GB2312"/>
          <w:color w:val="000000" w:themeColor="text1"/>
          <w:sz w:val="32"/>
          <w:szCs w:val="32"/>
          <w14:textFill>
            <w14:solidFill>
              <w14:schemeClr w14:val="tx1"/>
            </w14:solidFill>
          </w14:textFill>
        </w:rPr>
        <w:t>产品性能研究</w:t>
      </w:r>
    </w:p>
    <w:p>
      <w:pPr>
        <w:overflowPunct w:val="0"/>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申请人应根据产品特点提交有关性能研究材料及产品技术要求的研究和编制说明</w:t>
      </w:r>
      <w:r>
        <w:rPr>
          <w:rFonts w:hint="eastAsia" w:eastAsia="仿宋_GB2312"/>
          <w:color w:val="auto"/>
          <w:sz w:val="32"/>
          <w:szCs w:val="32"/>
          <w:lang w:eastAsia="zh-CN"/>
        </w:rPr>
        <w:t>，</w:t>
      </w:r>
      <w:r>
        <w:rPr>
          <w:rFonts w:hint="eastAsia" w:eastAsia="仿宋_GB2312"/>
          <w:color w:val="auto"/>
          <w:sz w:val="32"/>
          <w:szCs w:val="32"/>
        </w:rPr>
        <w:t>包括所有指标的确定依据，所采用的标准或方法、采用的原因及理论基础。建议提交产品粒度分布、流动性等相关研究资料。</w:t>
      </w:r>
    </w:p>
    <w:p>
      <w:pPr>
        <w:numPr>
          <w:ilvl w:val="-1"/>
          <w:numId w:val="0"/>
        </w:numPr>
        <w:overflowPunct w:val="0"/>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建议包括</w:t>
      </w:r>
      <w:r>
        <w:rPr>
          <w:rFonts w:hint="eastAsia" w:eastAsia="仿宋_GB2312"/>
          <w:color w:val="000000" w:themeColor="text1"/>
          <w:sz w:val="32"/>
          <w:szCs w:val="32"/>
          <w:lang w:val="en-US" w:eastAsia="zh-CN"/>
          <w14:textFill>
            <w14:solidFill>
              <w14:schemeClr w14:val="tx1"/>
            </w14:solidFill>
          </w14:textFill>
        </w:rPr>
        <w:t>但不限于</w:t>
      </w:r>
      <w:r>
        <w:rPr>
          <w:rFonts w:eastAsia="仿宋_GB2312"/>
          <w:color w:val="000000" w:themeColor="text1"/>
          <w:sz w:val="32"/>
          <w:szCs w:val="32"/>
          <w14:textFill>
            <w14:solidFill>
              <w14:schemeClr w14:val="tx1"/>
            </w14:solidFill>
          </w14:textFill>
        </w:rPr>
        <w:t>下列性能：</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Calibri" w:hAnsi="Calibri" w:eastAsia="仿宋_GB2312" w:cs="Calibri"/>
          <w:color w:val="000000" w:themeColor="text1"/>
          <w:sz w:val="32"/>
          <w:szCs w:val="32"/>
          <w:lang w:val="en-US" w:eastAsia="zh-CN"/>
          <w14:textFill>
            <w14:solidFill>
              <w14:schemeClr w14:val="tx1"/>
            </w14:solidFill>
          </w14:textFill>
        </w:rPr>
        <w:t xml:space="preserve">4.1.1 </w:t>
      </w:r>
      <w:r>
        <w:rPr>
          <w:rFonts w:hint="eastAsia" w:eastAsia="仿宋_GB2312"/>
          <w:color w:val="000000" w:themeColor="text1"/>
          <w:sz w:val="32"/>
          <w:szCs w:val="32"/>
          <w14:textFill>
            <w14:solidFill>
              <w14:schemeClr w14:val="tx1"/>
            </w14:solidFill>
          </w14:textFill>
        </w:rPr>
        <w:t>外观：应明确产品的外观性状，例如呈粉末状，质地均匀、无杂质。</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Calibri" w:hAnsi="Calibri" w:eastAsia="仿宋_GB2312" w:cs="Calibri"/>
          <w:color w:val="000000" w:themeColor="text1"/>
          <w:sz w:val="32"/>
          <w:szCs w:val="32"/>
          <w:lang w:val="en-US" w:eastAsia="zh-CN"/>
          <w14:textFill>
            <w14:solidFill>
              <w14:schemeClr w14:val="tx1"/>
            </w14:solidFill>
          </w14:textFill>
        </w:rPr>
        <w:t xml:space="preserve">4.1.2 </w:t>
      </w:r>
      <w:r>
        <w:rPr>
          <w:rFonts w:hint="eastAsia" w:eastAsia="仿宋_GB2312"/>
          <w:color w:val="000000" w:themeColor="text1"/>
          <w:sz w:val="32"/>
          <w:szCs w:val="32"/>
          <w14:textFill>
            <w14:solidFill>
              <w14:schemeClr w14:val="tx1"/>
            </w14:solidFill>
          </w14:textFill>
        </w:rPr>
        <w:t>气味：考虑到产品可能会添加食用香精等带气味的矫味剂，因此需要规定产品的气味。例如：无味，柠檬味，草莓味、薄荷味等。</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Calibri" w:hAnsi="Calibri" w:eastAsia="仿宋_GB2312" w:cs="Calibri"/>
          <w:color w:val="000000" w:themeColor="text1"/>
          <w:sz w:val="32"/>
          <w:szCs w:val="32"/>
          <w:lang w:val="en-US" w:eastAsia="zh-CN"/>
          <w14:textFill>
            <w14:solidFill>
              <w14:schemeClr w14:val="tx1"/>
            </w14:solidFill>
          </w14:textFill>
        </w:rPr>
        <w:t xml:space="preserve">4.1.3 </w:t>
      </w:r>
      <w:r>
        <w:rPr>
          <w:rFonts w:hint="eastAsia" w:eastAsia="仿宋_GB2312"/>
          <w:color w:val="000000" w:themeColor="text1"/>
          <w:sz w:val="32"/>
          <w:szCs w:val="32"/>
          <w14:textFill>
            <w14:solidFill>
              <w14:schemeClr w14:val="tx1"/>
            </w14:solidFill>
          </w14:textFill>
        </w:rPr>
        <w:t>净含量：考虑到产品会有不同的装量，因此需要对净含量及允差进行规定。</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宋体" w:hAnsi="宋体" w:cs="宋体"/>
          <w:color w:val="000000" w:themeColor="text1"/>
          <w:sz w:val="32"/>
          <w:szCs w:val="32"/>
          <w:lang w:val="en-US" w:eastAsia="zh-CN"/>
          <w14:textFill>
            <w14:solidFill>
              <w14:schemeClr w14:val="tx1"/>
            </w14:solidFill>
          </w14:textFill>
        </w:rPr>
        <w:t xml:space="preserve">4.1.4 </w:t>
      </w:r>
      <w:r>
        <w:rPr>
          <w:rFonts w:hint="eastAsia" w:eastAsia="仿宋_GB2312"/>
          <w:color w:val="000000" w:themeColor="text1"/>
          <w:sz w:val="32"/>
          <w:szCs w:val="32"/>
          <w14:textFill>
            <w14:solidFill>
              <w14:schemeClr w14:val="tx1"/>
            </w14:solidFill>
          </w14:textFill>
        </w:rPr>
        <w:t>PH值：应明确产品的PH范围。</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4.1.5</w:t>
      </w:r>
      <w:r>
        <w:rPr>
          <w:rFonts w:hint="eastAsia" w:eastAsia="仿宋_GB2312"/>
          <w:color w:val="000000" w:themeColor="text1"/>
          <w:sz w:val="32"/>
          <w:szCs w:val="32"/>
          <w14:textFill>
            <w14:solidFill>
              <w14:schemeClr w14:val="tx1"/>
            </w14:solidFill>
          </w14:textFill>
        </w:rPr>
        <w:t>粒径：粒径分布是决定产品安全有效性的重要指标，建议提交相关研究资料，明确产品的粒径范围，严格控制产品的粒度分布特征值D50以及D90。</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4.1.6 </w:t>
      </w:r>
      <w:r>
        <w:rPr>
          <w:rFonts w:hint="eastAsia" w:eastAsia="仿宋_GB2312"/>
          <w:color w:val="000000" w:themeColor="text1"/>
          <w:sz w:val="32"/>
          <w:szCs w:val="32"/>
          <w14:textFill>
            <w14:solidFill>
              <w14:schemeClr w14:val="tx1"/>
            </w14:solidFill>
          </w14:textFill>
        </w:rPr>
        <w:t>流动性：关于流动性指标，因考虑到该产品在临床应用上的关键点之一便是产品能否稳定地被高速气流推动，因此需要产品具有一定的流动性。</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4.1.7</w:t>
      </w:r>
      <w:r>
        <w:rPr>
          <w:rFonts w:hint="eastAsia" w:eastAsia="仿宋_GB2312"/>
          <w:color w:val="000000" w:themeColor="text1"/>
          <w:sz w:val="32"/>
          <w:szCs w:val="32"/>
          <w14:textFill>
            <w14:solidFill>
              <w14:schemeClr w14:val="tx1"/>
            </w14:solidFill>
          </w14:textFill>
        </w:rPr>
        <w:t>堆积密度、真密度、表现密度：应明确产品的堆积密度、真密度、表现密度的范围。</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4.1.8 </w:t>
      </w:r>
      <w:r>
        <w:rPr>
          <w:rFonts w:hint="eastAsia" w:eastAsia="仿宋_GB2312"/>
          <w:color w:val="000000" w:themeColor="text1"/>
          <w:sz w:val="32"/>
          <w:szCs w:val="32"/>
          <w14:textFill>
            <w14:solidFill>
              <w14:schemeClr w14:val="tx1"/>
            </w14:solidFill>
          </w14:textFill>
        </w:rPr>
        <w:t>重金属、砷盐</w:t>
      </w:r>
      <w:r>
        <w:rPr>
          <w:rFonts w:hint="eastAsia"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铵盐</w:t>
      </w:r>
      <w:r>
        <w:rPr>
          <w:rFonts w:hint="eastAsia" w:eastAsia="仿宋_GB2312"/>
          <w:color w:val="000000" w:themeColor="text1"/>
          <w:sz w:val="32"/>
          <w:szCs w:val="32"/>
          <w14:textFill>
            <w14:solidFill>
              <w14:schemeClr w14:val="tx1"/>
            </w14:solidFill>
          </w14:textFill>
        </w:rPr>
        <w:t>：考虑到产品接触口腔环境，因此要求检测重金属、砷盐</w:t>
      </w:r>
      <w:r>
        <w:rPr>
          <w:rFonts w:hint="eastAsia" w:eastAsia="仿宋_GB2312"/>
          <w:color w:val="000000" w:themeColor="text1"/>
          <w:sz w:val="32"/>
          <w:szCs w:val="32"/>
          <w:lang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铵盐</w:t>
      </w:r>
      <w:r>
        <w:rPr>
          <w:rFonts w:hint="eastAsia" w:eastAsia="仿宋_GB2312"/>
          <w:color w:val="000000" w:themeColor="text1"/>
          <w:sz w:val="32"/>
          <w:szCs w:val="32"/>
          <w14:textFill>
            <w14:solidFill>
              <w14:schemeClr w14:val="tx1"/>
            </w14:solidFill>
          </w14:textFill>
        </w:rPr>
        <w:t>含量。</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4.1.9 </w:t>
      </w:r>
      <w:r>
        <w:rPr>
          <w:rFonts w:hint="eastAsia" w:eastAsia="仿宋_GB2312"/>
          <w:color w:val="000000" w:themeColor="text1"/>
          <w:sz w:val="32"/>
          <w:szCs w:val="32"/>
          <w14:textFill>
            <w14:solidFill>
              <w14:schemeClr w14:val="tx1"/>
            </w14:solidFill>
          </w14:textFill>
        </w:rPr>
        <w:t>化学成份、主要成份含量：考虑到不同注册单元的产品主要成分不同，因此需要做鉴别试验。</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4.1.10</w:t>
      </w:r>
      <w:r>
        <w:rPr>
          <w:rFonts w:hint="eastAsia" w:eastAsia="仿宋_GB2312"/>
          <w:color w:val="000000" w:themeColor="text1"/>
          <w:sz w:val="32"/>
          <w:szCs w:val="32"/>
          <w14:textFill>
            <w14:solidFill>
              <w14:schemeClr w14:val="tx1"/>
            </w14:solidFill>
          </w14:textFill>
        </w:rPr>
        <w:t>微生物限度：建议参考相关标准如中国药典进行微生物限度的检测，包括菌落总数、金黄色葡萄球菌、铜绿假单孢菌等。</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4.2</w:t>
      </w:r>
      <w:r>
        <w:rPr>
          <w:rFonts w:eastAsia="仿宋_GB2312"/>
          <w:color w:val="000000" w:themeColor="text1"/>
          <w:sz w:val="32"/>
          <w:szCs w:val="32"/>
          <w14:textFill>
            <w14:solidFill>
              <w14:schemeClr w14:val="tx1"/>
            </w14:solidFill>
          </w14:textFill>
        </w:rPr>
        <w:t>生物相容性的评价研究</w:t>
      </w:r>
    </w:p>
    <w:p>
      <w:pPr>
        <w:pStyle w:val="7"/>
        <w:widowControl w:val="0"/>
        <w:spacing w:line="360" w:lineRule="auto"/>
        <w:ind w:firstLine="640"/>
        <w:rPr>
          <w:rFonts w:eastAsia="仿宋_GB2312" w:cs="Times New Roman"/>
          <w:bCs/>
          <w:color w:val="000000" w:themeColor="text1"/>
          <w:kern w:val="2"/>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牙科喷砂粉</w:t>
      </w:r>
      <w:r>
        <w:rPr>
          <w:rFonts w:eastAsia="仿宋_GB2312"/>
          <w:color w:val="000000" w:themeColor="text1"/>
          <w:sz w:val="32"/>
          <w:szCs w:val="32"/>
          <w14:textFill>
            <w14:solidFill>
              <w14:schemeClr w14:val="tx1"/>
            </w14:solidFill>
          </w14:textFill>
        </w:rPr>
        <w:t>是属于与牙本质（或口腔软组织）</w:t>
      </w:r>
      <w:r>
        <w:rPr>
          <w:rFonts w:hint="eastAsia" w:eastAsia="仿宋_GB2312"/>
          <w:color w:val="000000" w:themeColor="text1"/>
          <w:sz w:val="32"/>
          <w:szCs w:val="32"/>
          <w:lang w:val="en-US" w:eastAsia="zh-CN"/>
          <w14:textFill>
            <w14:solidFill>
              <w14:schemeClr w14:val="tx1"/>
            </w14:solidFill>
          </w14:textFill>
        </w:rPr>
        <w:t>短期</w:t>
      </w:r>
      <w:r>
        <w:rPr>
          <w:rFonts w:eastAsia="仿宋_GB2312"/>
          <w:color w:val="000000" w:themeColor="text1"/>
          <w:sz w:val="32"/>
          <w:szCs w:val="32"/>
          <w14:textFill>
            <w14:solidFill>
              <w14:schemeClr w14:val="tx1"/>
            </w14:solidFill>
          </w14:textFill>
        </w:rPr>
        <w:t>接触的产品，</w:t>
      </w:r>
      <w:r>
        <w:rPr>
          <w:rFonts w:eastAsia="仿宋_GB2312" w:cs="Times New Roman"/>
          <w:bCs/>
          <w:color w:val="000000" w:themeColor="text1"/>
          <w:kern w:val="2"/>
          <w:sz w:val="32"/>
          <w:szCs w:val="32"/>
          <w14:textFill>
            <w14:solidFill>
              <w14:schemeClr w14:val="tx1"/>
            </w14:solidFill>
          </w14:textFill>
        </w:rPr>
        <w:t>生物相容性评价研究应按</w:t>
      </w:r>
      <w:r>
        <w:rPr>
          <w:rFonts w:eastAsia="仿宋_GB2312" w:cs="Times New Roman"/>
          <w:color w:val="000000" w:themeColor="text1"/>
          <w:sz w:val="32"/>
          <w:szCs w:val="32"/>
          <w14:textFill>
            <w14:solidFill>
              <w14:schemeClr w14:val="tx1"/>
            </w14:solidFill>
          </w14:textFill>
        </w:rPr>
        <w:t>GB/T 16886.1《医疗器械生物学评价 第1部分：风险管理过程中的评价与试验》</w:t>
      </w:r>
      <w:r>
        <w:rPr>
          <w:rFonts w:eastAsia="仿宋_GB2312"/>
          <w:color w:val="000000" w:themeColor="text1"/>
          <w:sz w:val="32"/>
          <w:szCs w:val="32"/>
          <w14:textFill>
            <w14:solidFill>
              <w14:schemeClr w14:val="tx1"/>
            </w14:solidFill>
          </w14:textFill>
        </w:rPr>
        <w:t>（注：本指导原则中标准适用最新版本，下同）</w:t>
      </w:r>
      <w:r>
        <w:rPr>
          <w:rFonts w:eastAsia="仿宋_GB2312" w:cs="Times New Roman"/>
          <w:bCs/>
          <w:color w:val="000000" w:themeColor="text1"/>
          <w:kern w:val="2"/>
          <w:sz w:val="32"/>
          <w:szCs w:val="32"/>
          <w14:textFill>
            <w14:solidFill>
              <w14:schemeClr w14:val="tx1"/>
            </w14:solidFill>
          </w14:textFill>
        </w:rPr>
        <w:t>以及YY/T 0268《牙科学 口腔医疗器械生物学评价 第1单元：评价与试验》规定的方法进行；</w:t>
      </w:r>
      <w:r>
        <w:rPr>
          <w:rFonts w:eastAsia="仿宋_GB2312"/>
          <w:color w:val="000000" w:themeColor="text1"/>
          <w:sz w:val="32"/>
          <w:szCs w:val="32"/>
          <w14:textFill>
            <w14:solidFill>
              <w14:schemeClr w14:val="tx1"/>
            </w14:solidFill>
          </w14:textFill>
        </w:rPr>
        <w:t>生物相容性评价资料可以参考《医疗器械生物学评价</w:t>
      </w:r>
      <w:r>
        <w:rPr>
          <w:rFonts w:hint="eastAsia" w:eastAsia="仿宋_GB2312"/>
          <w:color w:val="000000" w:themeColor="text1"/>
          <w:sz w:val="32"/>
          <w:szCs w:val="32"/>
          <w14:textFill>
            <w14:solidFill>
              <w14:schemeClr w14:val="tx1"/>
            </w14:solidFill>
          </w14:textFill>
        </w:rPr>
        <w:t>和审查</w:t>
      </w:r>
      <w:r>
        <w:rPr>
          <w:rFonts w:eastAsia="仿宋_GB2312"/>
          <w:color w:val="000000" w:themeColor="text1"/>
          <w:sz w:val="32"/>
          <w:szCs w:val="32"/>
          <w14:textFill>
            <w14:solidFill>
              <w14:schemeClr w14:val="tx1"/>
            </w14:solidFill>
          </w14:textFill>
        </w:rPr>
        <w:t>指南》</w:t>
      </w:r>
      <w:r>
        <w:rPr>
          <w:rFonts w:hint="eastAsia"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国食药监械〔2007〕345号</w:t>
      </w:r>
      <w:r>
        <w:rPr>
          <w:rFonts w:hint="eastAsia"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，考虑（但不限于）包括以下方面：</w:t>
      </w:r>
    </w:p>
    <w:p>
      <w:pPr>
        <w:numPr>
          <w:ilvl w:val="-1"/>
          <w:numId w:val="0"/>
        </w:numPr>
        <w:spacing w:line="360" w:lineRule="auto"/>
        <w:ind w:left="0"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4.2.1</w:t>
      </w:r>
      <w:r>
        <w:rPr>
          <w:rFonts w:eastAsia="仿宋_GB2312"/>
          <w:color w:val="000000" w:themeColor="text1"/>
          <w:sz w:val="32"/>
          <w:szCs w:val="32"/>
          <w14:textFill>
            <w14:solidFill>
              <w14:schemeClr w14:val="tx1"/>
            </w14:solidFill>
          </w14:textFill>
        </w:rPr>
        <w:t>医疗器械生物学评价的策略和所含程序；</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4.2.2</w:t>
      </w:r>
      <w:r>
        <w:rPr>
          <w:rFonts w:eastAsia="仿宋_GB2312"/>
          <w:color w:val="000000" w:themeColor="text1"/>
          <w:sz w:val="32"/>
          <w:szCs w:val="32"/>
          <w14:textFill>
            <w14:solidFill>
              <w14:schemeClr w14:val="tx1"/>
            </w14:solidFill>
          </w14:textFill>
        </w:rPr>
        <w:t>医疗器械所用材料选择的描述；</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4.2.3</w:t>
      </w:r>
      <w:r>
        <w:rPr>
          <w:rFonts w:eastAsia="仿宋_GB2312"/>
          <w:color w:val="000000" w:themeColor="text1"/>
          <w:sz w:val="32"/>
          <w:szCs w:val="32"/>
          <w14:textFill>
            <w14:solidFill>
              <w14:schemeClr w14:val="tx1"/>
            </w14:solidFill>
          </w14:textFill>
        </w:rPr>
        <w:t>材料表征</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－医疗器械材料的定性与定量的说明或分析</w:t>
      </w:r>
      <w:r>
        <w:rPr>
          <w:rFonts w:hint="eastAsia" w:eastAsia="仿宋_GB2312"/>
          <w:color w:val="000000" w:themeColor="text1"/>
          <w:sz w:val="32"/>
          <w:szCs w:val="32"/>
          <w14:textFill>
            <w14:solidFill>
              <w14:schemeClr w14:val="tx1"/>
            </w14:solidFill>
          </w14:textFill>
        </w:rPr>
        <w:t>；</w:t>
      </w:r>
    </w:p>
    <w:p>
      <w:pPr>
        <w:spacing w:line="360" w:lineRule="auto"/>
        <w:ind w:firstLine="640" w:firstLineChars="200"/>
        <w:rPr>
          <w:rFonts w:hint="eastAsia"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－医疗器械材料与市售产品的等同性比较</w:t>
      </w:r>
      <w:r>
        <w:rPr>
          <w:rFonts w:hint="eastAsia" w:eastAsia="仿宋_GB2312"/>
          <w:color w:val="000000" w:themeColor="text1"/>
          <w:sz w:val="32"/>
          <w:szCs w:val="32"/>
          <w14:textFill>
            <w14:solidFill>
              <w14:schemeClr w14:val="tx1"/>
            </w14:solidFill>
          </w14:textFill>
        </w:rPr>
        <w:t>；</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4.2.4</w:t>
      </w:r>
      <w:r>
        <w:rPr>
          <w:rFonts w:eastAsia="仿宋_GB2312"/>
          <w:color w:val="000000" w:themeColor="text1"/>
          <w:sz w:val="32"/>
          <w:szCs w:val="32"/>
          <w14:textFill>
            <w14:solidFill>
              <w14:schemeClr w14:val="tx1"/>
            </w14:solidFill>
          </w14:textFill>
        </w:rPr>
        <w:t>选择或放弃生物学试验的理由和论证；</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4.2.5</w:t>
      </w:r>
      <w:r>
        <w:rPr>
          <w:rFonts w:eastAsia="仿宋_GB2312"/>
          <w:color w:val="000000" w:themeColor="text1"/>
          <w:sz w:val="32"/>
          <w:szCs w:val="32"/>
          <w14:textFill>
            <w14:solidFill>
              <w14:schemeClr w14:val="tx1"/>
            </w14:solidFill>
          </w14:textFill>
        </w:rPr>
        <w:t>已有数据和试验结果的汇总；</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s="Times New Roman"/>
          <w:color w:val="000000" w:themeColor="text1"/>
          <w:sz w:val="32"/>
          <w:szCs w:val="32"/>
          <w:lang w:val="en-US" w:eastAsia="zh-CN"/>
          <w14:textFill>
            <w14:solidFill>
              <w14:schemeClr w14:val="tx1"/>
            </w14:solidFill>
          </w14:textFill>
        </w:rPr>
        <w:t>4.2.6</w:t>
      </w:r>
      <w:r>
        <w:rPr>
          <w:rFonts w:eastAsia="仿宋_GB2312"/>
          <w:color w:val="000000" w:themeColor="text1"/>
          <w:sz w:val="32"/>
          <w:szCs w:val="32"/>
          <w14:textFill>
            <w14:solidFill>
              <w14:schemeClr w14:val="tx1"/>
            </w14:solidFill>
          </w14:textFill>
        </w:rPr>
        <w:t>完成生物学评价所需的其他数据。</w:t>
      </w:r>
    </w:p>
    <w:p>
      <w:pPr>
        <w:spacing w:line="360" w:lineRule="auto"/>
        <w:ind w:firstLine="640" w:firstLineChars="200"/>
        <w:rPr>
          <w:rFonts w:hint="default" w:eastAsia="仿宋_GB2312"/>
          <w:color w:val="000000" w:themeColor="text1"/>
          <w:sz w:val="32"/>
          <w:szCs w:val="32"/>
          <w:lang w:eastAsia="zh-CN"/>
          <w14:textFill>
            <w14:solidFill>
              <w14:schemeClr w14:val="tx1"/>
            </w14:solidFill>
          </w14:textFill>
        </w:rPr>
      </w:pPr>
      <w:r>
        <w:rPr>
          <w:rFonts w:eastAsia="仿宋_GB2312"/>
          <w:color w:val="000000" w:themeColor="text1"/>
          <w:sz w:val="32"/>
          <w:szCs w:val="32"/>
          <w14:textFill>
            <w14:solidFill>
              <w14:schemeClr w14:val="tx1"/>
            </w14:solidFill>
          </w14:textFill>
        </w:rPr>
        <w:t>具体生物学评价试验项目应基于产品预期用途，参照YY/T 0268-2008《牙科学口腔医疗器械生物学评价第1单元：评价与试验》确定，建议考虑：细胞毒性</w:t>
      </w:r>
      <w:r>
        <w:rPr>
          <w:rFonts w:hint="default" w:eastAsia="仿宋_GB2312"/>
          <w:color w:val="000000" w:themeColor="text1"/>
          <w:sz w:val="32"/>
          <w:szCs w:val="32"/>
          <w:lang w:val="en-US" w:eastAsia="zh-CN"/>
          <w14:textFill>
            <w14:solidFill>
              <w14:schemeClr w14:val="tx1"/>
            </w14:solidFill>
          </w14:textFill>
        </w:rPr>
        <w:t>试验</w:t>
      </w:r>
      <w:r>
        <w:rPr>
          <w:rFonts w:hint="eastAsia" w:eastAsia="仿宋_GB2312"/>
          <w:color w:val="000000" w:themeColor="text1"/>
          <w:sz w:val="32"/>
          <w:szCs w:val="32"/>
          <w:lang w:val="en-US" w:eastAsia="zh-CN"/>
          <w14:textFill>
            <w14:solidFill>
              <w14:schemeClr w14:val="tx1"/>
            </w14:solidFill>
          </w14:textFill>
        </w:rPr>
        <w:t>、</w:t>
      </w:r>
      <w:r>
        <w:rPr>
          <w:rFonts w:hint="default" w:eastAsia="仿宋_GB2312"/>
          <w:color w:val="000000" w:themeColor="text1"/>
          <w:sz w:val="32"/>
          <w:szCs w:val="32"/>
          <w:lang w:eastAsia="zh-CN"/>
          <w14:textFill>
            <w14:solidFill>
              <w14:schemeClr w14:val="tx1"/>
            </w14:solidFill>
          </w14:textFill>
        </w:rPr>
        <w:t>迟发型超敏</w:t>
      </w:r>
      <w:r>
        <w:rPr>
          <w:rFonts w:hint="default" w:eastAsia="仿宋_GB2312"/>
          <w:color w:val="000000" w:themeColor="text1"/>
          <w:sz w:val="32"/>
          <w:szCs w:val="32"/>
          <w:lang w:val="en-US" w:eastAsia="zh-CN"/>
          <w14:textFill>
            <w14:solidFill>
              <w14:schemeClr w14:val="tx1"/>
            </w14:solidFill>
          </w14:textFill>
        </w:rPr>
        <w:t>试验</w:t>
      </w:r>
      <w:r>
        <w:rPr>
          <w:rFonts w:hint="eastAsia" w:eastAsia="仿宋_GB2312"/>
          <w:color w:val="000000" w:themeColor="text1"/>
          <w:sz w:val="32"/>
          <w:szCs w:val="32"/>
          <w:lang w:val="en-US" w:eastAsia="zh-CN"/>
          <w14:textFill>
            <w14:solidFill>
              <w14:schemeClr w14:val="tx1"/>
            </w14:solidFill>
          </w14:textFill>
        </w:rPr>
        <w:t>、</w:t>
      </w:r>
      <w:r>
        <w:rPr>
          <w:rFonts w:eastAsia="仿宋_GB2312"/>
          <w:color w:val="000000" w:themeColor="text1"/>
          <w:sz w:val="32"/>
          <w:szCs w:val="32"/>
          <w14:textFill>
            <w14:solidFill>
              <w14:schemeClr w14:val="tx1"/>
            </w14:solidFill>
          </w14:textFill>
        </w:rPr>
        <w:t>口腔粘膜刺激</w:t>
      </w:r>
      <w:r>
        <w:rPr>
          <w:rFonts w:hint="default" w:eastAsia="仿宋_GB2312"/>
          <w:color w:val="000000" w:themeColor="text1"/>
          <w:sz w:val="32"/>
          <w:szCs w:val="32"/>
          <w:lang w:val="en-US" w:eastAsia="zh-CN"/>
          <w14:textFill>
            <w14:solidFill>
              <w14:schemeClr w14:val="tx1"/>
            </w14:solidFill>
          </w14:textFill>
        </w:rPr>
        <w:t>试验</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4.3</w:t>
      </w:r>
      <w:r>
        <w:rPr>
          <w:rFonts w:eastAsia="仿宋_GB2312"/>
          <w:color w:val="000000" w:themeColor="text1"/>
          <w:sz w:val="32"/>
          <w:szCs w:val="32"/>
          <w14:textFill>
            <w14:solidFill>
              <w14:schemeClr w14:val="tx1"/>
            </w14:solidFill>
          </w14:textFill>
        </w:rPr>
        <w:t>产品有效期和包装研究</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应明确产品有效期，提供产品有效期的验证资料，应考虑温度</w:t>
      </w:r>
      <w:r>
        <w:rPr>
          <w:rFonts w:hint="eastAsia" w:eastAsia="仿宋_GB2312"/>
          <w:color w:val="000000" w:themeColor="text1"/>
          <w:sz w:val="32"/>
          <w:szCs w:val="32"/>
          <w14:textFill>
            <w14:solidFill>
              <w14:schemeClr w14:val="tx1"/>
            </w14:solidFill>
          </w14:textFill>
        </w:rPr>
        <w:t>和湿度</w:t>
      </w:r>
      <w:r>
        <w:rPr>
          <w:rFonts w:eastAsia="仿宋_GB2312"/>
          <w:color w:val="000000" w:themeColor="text1"/>
          <w:sz w:val="32"/>
          <w:szCs w:val="32"/>
          <w14:textFill>
            <w14:solidFill>
              <w14:schemeClr w14:val="tx1"/>
            </w14:solidFill>
          </w14:textFill>
        </w:rPr>
        <w:t>，尤其是高温</w:t>
      </w:r>
      <w:r>
        <w:rPr>
          <w:rFonts w:hint="eastAsia" w:eastAsia="仿宋_GB2312"/>
          <w:color w:val="000000" w:themeColor="text1"/>
          <w:sz w:val="32"/>
          <w:szCs w:val="32"/>
          <w14:textFill>
            <w14:solidFill>
              <w14:schemeClr w14:val="tx1"/>
            </w14:solidFill>
          </w14:textFill>
        </w:rPr>
        <w:t>和高湿</w:t>
      </w:r>
      <w:r>
        <w:rPr>
          <w:rFonts w:eastAsia="仿宋_GB2312"/>
          <w:color w:val="000000" w:themeColor="text1"/>
          <w:sz w:val="32"/>
          <w:szCs w:val="32"/>
          <w14:textFill>
            <w14:solidFill>
              <w14:schemeClr w14:val="tx1"/>
            </w14:solidFill>
          </w14:textFill>
        </w:rPr>
        <w:t>对产品有效期的影响。有效期的研究应贯穿于产品研究与开发的全过程。</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4.3.1</w:t>
      </w:r>
      <w:r>
        <w:rPr>
          <w:rFonts w:eastAsia="仿宋_GB2312"/>
          <w:color w:val="000000" w:themeColor="text1"/>
          <w:sz w:val="32"/>
          <w:szCs w:val="32"/>
          <w14:textFill>
            <w14:solidFill>
              <w14:schemeClr w14:val="tx1"/>
            </w14:solidFill>
          </w14:textFill>
        </w:rPr>
        <w:t>有效期验证：提供产品有效期及有效期验证资料。</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产品有效期验证可依据有关适用的国内、国际标准和验证方案进行，提交产品的有效期验证报告。产品有效期验证可采用实时老化研究、加速老化研究。</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在有效期研究中应监测整个有效期内确保产品安全性和有效性的关键参数，如在产品技术要求中所描述的参数，并提交所选择测试方法的验证资料。</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若选择实时老化有效期验证试验，产品选择的老化环境条件应不低于产品说明书宣称的贮存、运输环境条件。</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若选择加速老化有效期验证试验，应说明所用加速条件的合理性。例如，在标准温度和升高温度情况下的降解机制应该是等效的，即温度改变而Arrhenius曲线的斜率保持不变。在不能证实等效性时，即不同温度下可由不同机制引起产品失效，应提交额外的合理性说明。在进行加速老化试验研究时应注意：产品选择的环境条件的老化机制应与宣称的贮存、运输环境条件下产品老化的机制相匹配。</w:t>
      </w:r>
    </w:p>
    <w:p>
      <w:pPr>
        <w:numPr>
          <w:ilvl w:val="-1"/>
          <w:numId w:val="0"/>
        </w:num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4.3.2</w:t>
      </w:r>
      <w:r>
        <w:rPr>
          <w:rFonts w:eastAsia="仿宋_GB2312"/>
          <w:color w:val="000000" w:themeColor="text1"/>
          <w:sz w:val="32"/>
          <w:szCs w:val="32"/>
          <w14:textFill>
            <w14:solidFill>
              <w14:schemeClr w14:val="tx1"/>
            </w14:solidFill>
          </w14:textFill>
        </w:rPr>
        <w:t>包装验证：在宣称的有效期内以及运输储存条件下，保持包装完整性的依据。</w:t>
      </w:r>
    </w:p>
    <w:p>
      <w:pPr>
        <w:numPr>
          <w:ilvl w:val="-1"/>
          <w:numId w:val="0"/>
        </w:numPr>
        <w:spacing w:line="360" w:lineRule="auto"/>
        <w:ind w:firstLine="640" w:firstLineChars="200"/>
        <w:rPr>
          <w:rFonts w:eastAsia="仿宋_GB2312"/>
          <w:color w:val="000000" w:themeColor="text1"/>
          <w:sz w:val="32"/>
          <w14:textFill>
            <w14:solidFill>
              <w14:schemeClr w14:val="tx1"/>
            </w14:solidFill>
          </w14:textFill>
        </w:rPr>
      </w:pPr>
      <w:r>
        <w:rPr>
          <w:rFonts w:eastAsia="仿宋_GB2312"/>
          <w:color w:val="000000" w:themeColor="text1"/>
          <w:sz w:val="32"/>
          <w:szCs w:val="32"/>
          <w14:textFill>
            <w14:solidFill>
              <w14:schemeClr w14:val="tx1"/>
            </w14:solidFill>
          </w14:textFill>
        </w:rPr>
        <w:t>产品包装验证可依据有关适用的国内、国际标准和验证方案进行，提交产品的包装验证报告。</w:t>
      </w:r>
      <w:r>
        <w:rPr>
          <w:rFonts w:hint="eastAsia" w:eastAsia="仿宋_GB2312"/>
          <w:color w:val="000000" w:themeColor="text1"/>
          <w:sz w:val="32"/>
          <w:szCs w:val="32"/>
          <w:lang w:val="en-US" w:eastAsia="zh-CN"/>
          <w14:textFill>
            <w14:solidFill>
              <w14:schemeClr w14:val="tx1"/>
            </w14:solidFill>
          </w14:textFill>
        </w:rPr>
        <w:t>包装材料可考虑</w:t>
      </w:r>
      <w:r>
        <w:rPr>
          <w:rFonts w:eastAsia="仿宋_GB2312"/>
          <w:color w:val="000000" w:themeColor="text1"/>
          <w:sz w:val="32"/>
          <w:szCs w:val="32"/>
          <w14:textFill>
            <w14:solidFill>
              <w14:schemeClr w14:val="tx1"/>
            </w14:solidFill>
          </w14:textFill>
        </w:rPr>
        <w:t>采用</w:t>
      </w:r>
      <w:r>
        <w:rPr>
          <w:rFonts w:hint="eastAsia" w:eastAsia="仿宋_GB2312"/>
          <w:color w:val="000000" w:themeColor="text1"/>
          <w:sz w:val="32"/>
          <w:szCs w:val="32"/>
          <w14:textFill>
            <w14:solidFill>
              <w14:schemeClr w14:val="tx1"/>
            </w14:solidFill>
          </w14:textFill>
        </w:rPr>
        <w:t>P</w:t>
      </w:r>
      <w:r>
        <w:rPr>
          <w:rFonts w:eastAsia="仿宋_GB2312"/>
          <w:color w:val="000000" w:themeColor="text1"/>
          <w:sz w:val="32"/>
          <w:szCs w:val="32"/>
          <w14:textFill>
            <w14:solidFill>
              <w14:schemeClr w14:val="tx1"/>
            </w14:solidFill>
          </w14:textFill>
        </w:rPr>
        <w:t>ET</w:t>
      </w:r>
      <w:r>
        <w:rPr>
          <w:rFonts w:hint="eastAsia" w:eastAsia="仿宋_GB2312"/>
          <w:color w:val="000000" w:themeColor="text1"/>
          <w:sz w:val="32"/>
          <w:szCs w:val="32"/>
          <w14:textFill>
            <w14:solidFill>
              <w14:schemeClr w14:val="tx1"/>
            </w14:solidFill>
          </w14:textFill>
        </w:rPr>
        <w:t>聚酯瓶或其他满足食品级或药品级的材料</w:t>
      </w:r>
      <w:r>
        <w:rPr>
          <w:rFonts w:eastAsia="仿宋_GB2312"/>
          <w:color w:val="000000" w:themeColor="text1"/>
          <w:sz w:val="32"/>
          <w:szCs w:val="32"/>
          <w14:textFill>
            <w14:solidFill>
              <w14:schemeClr w14:val="tx1"/>
            </w14:solidFill>
          </w14:textFill>
        </w:rPr>
        <w:t>作为初包装。应明确产品的包装形式并确保包装在宣称的运输储存条件下，在产品有效期内能够对产品起到防护作用。</w:t>
      </w:r>
      <w:r>
        <w:rPr>
          <w:rFonts w:eastAsia="仿宋_GB2312"/>
          <w:color w:val="000000" w:themeColor="text1"/>
          <w:sz w:val="32"/>
          <w14:textFill>
            <w14:solidFill>
              <w14:schemeClr w14:val="tx1"/>
            </w14:solidFill>
          </w14:textFill>
        </w:rPr>
        <w:t>包装材料的选择应至少考虑以下因素：包装材料的物理化学性能；包装材料与产品的适应性；包装材料与贮存运输过程的适合性。</w:t>
      </w:r>
    </w:p>
    <w:p>
      <w:pPr>
        <w:spacing w:line="360" w:lineRule="auto"/>
        <w:ind w:firstLine="640" w:firstLineChars="200"/>
        <w:rPr>
          <w:rFonts w:eastAsia="仿宋_GB2312"/>
          <w:color w:val="000000" w:themeColor="text1"/>
          <w:sz w:val="32"/>
          <w14:textFill>
            <w14:solidFill>
              <w14:schemeClr w14:val="tx1"/>
            </w14:solidFill>
          </w14:textFill>
        </w:rPr>
      </w:pPr>
      <w:r>
        <w:rPr>
          <w:rFonts w:eastAsia="仿宋_GB2312"/>
          <w:color w:val="000000" w:themeColor="text1"/>
          <w:sz w:val="32"/>
          <w:szCs w:val="32"/>
          <w14:textFill>
            <w14:solidFill>
              <w14:schemeClr w14:val="tx1"/>
            </w14:solidFill>
          </w14:textFill>
        </w:rPr>
        <w:t>对于包装的有效期验证，建议申请者提交最终成品初包装的初始完整性和维持完整性的检测结果。</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4.4</w:t>
      </w:r>
      <w:r>
        <w:rPr>
          <w:rFonts w:eastAsia="仿宋_GB2312"/>
          <w:color w:val="000000" w:themeColor="text1"/>
          <w:sz w:val="32"/>
          <w:szCs w:val="32"/>
          <w14:textFill>
            <w14:solidFill>
              <w14:schemeClr w14:val="tx1"/>
            </w14:solidFill>
          </w14:textFill>
        </w:rPr>
        <w:t>其他研究</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证明产品安全性、有效性的其他研究资料。产品一般以非无菌形式交付，则不需提交灭菌/消毒研究资料。</w:t>
      </w:r>
    </w:p>
    <w:p>
      <w:pPr>
        <w:spacing w:line="360" w:lineRule="auto"/>
        <w:ind w:firstLine="63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5.产品生产制造相关要求</w:t>
      </w:r>
    </w:p>
    <w:p>
      <w:pPr>
        <w:spacing w:line="360" w:lineRule="auto"/>
        <w:ind w:firstLine="63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应当明确产品生产工艺过程，可采用流程图的形式，并说明其过程控制点。有多个研制、生产场地，应当概述每个研制、生产场地的实际情况。</w:t>
      </w:r>
    </w:p>
    <w:p>
      <w:pPr>
        <w:spacing w:line="360" w:lineRule="auto"/>
        <w:ind w:firstLine="63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5.1生产工艺过程及过程控制点</w:t>
      </w:r>
    </w:p>
    <w:p>
      <w:pPr>
        <w:spacing w:line="360" w:lineRule="auto"/>
        <w:ind w:firstLine="63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应当明确产品生产工艺过程，可采用流程图的形式，并说明其过程控制点。适用时应明确生产过程中各种原辅料的使用情况及对杂质的控制情况。</w:t>
      </w:r>
    </w:p>
    <w:p>
      <w:pPr>
        <w:spacing w:line="360" w:lineRule="auto"/>
        <w:ind w:firstLine="63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5.2研制、生产场地情况概述</w:t>
      </w:r>
    </w:p>
    <w:p>
      <w:pPr>
        <w:spacing w:line="360" w:lineRule="auto"/>
        <w:ind w:firstLine="630"/>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应结合场地平面图详细介绍研发、生产、检验、仓库场地情况。有多个研制、生产场地，应介绍每个研制、生产场地的实际情况。生产场地应与生产规模相适应。生产场地的区域划分应与生产工艺流程相符合。因一般的生产环境容易导致产品污染，如外来的粉尘、细菌、其他杂质等，在洁净厂房内进行生产，以保证微生物能有效控制。</w:t>
      </w:r>
    </w:p>
    <w:p>
      <w:pPr>
        <w:numPr>
          <w:ilvl w:val="-1"/>
          <w:numId w:val="0"/>
        </w:numPr>
        <w:spacing w:line="360" w:lineRule="auto"/>
        <w:ind w:left="872" w:leftChars="0" w:right="-67" w:rightChars="-32" w:firstLine="0" w:firstLineChars="0"/>
        <w:rPr>
          <w:rFonts w:eastAsia="楷体_GB2312"/>
          <w:color w:val="000000"/>
          <w:sz w:val="32"/>
          <w:szCs w:val="32"/>
        </w:rPr>
      </w:pPr>
      <w:r>
        <w:rPr>
          <w:rFonts w:hint="eastAsia" w:eastAsia="仿宋_GB2312"/>
          <w:color w:val="000000" w:themeColor="text1"/>
          <w:sz w:val="32"/>
          <w:szCs w:val="32"/>
          <w:lang w:val="en-US" w:eastAsia="zh-CN"/>
          <w14:textFill>
            <w14:solidFill>
              <w14:schemeClr w14:val="tx1"/>
            </w14:solidFill>
          </w14:textFill>
        </w:rPr>
        <w:t>（四）</w:t>
      </w:r>
      <w:r>
        <w:rPr>
          <w:rFonts w:hint="eastAsia" w:eastAsia="楷体_GB2312"/>
          <w:color w:val="000000"/>
          <w:sz w:val="32"/>
          <w:szCs w:val="32"/>
        </w:rPr>
        <w:t>临床评价资料</w:t>
      </w:r>
    </w:p>
    <w:p>
      <w:pPr>
        <w:numPr>
          <w:ilvl w:val="-1"/>
          <w:numId w:val="0"/>
        </w:numPr>
        <w:spacing w:line="360" w:lineRule="auto"/>
        <w:ind w:left="0" w:leftChars="0" w:right="-67" w:rightChars="-32" w:firstLine="739" w:firstLineChars="231"/>
        <w:rPr>
          <w:rFonts w:eastAsia="仿宋_GB2312"/>
          <w:color w:val="000000" w:themeColor="text1"/>
          <w:kern w:val="1"/>
          <w:sz w:val="32"/>
          <w:szCs w:val="28"/>
          <w:lang w:eastAsia="ar-SA"/>
          <w14:textFill>
            <w14:solidFill>
              <w14:schemeClr w14:val="tx1"/>
            </w14:solidFill>
          </w14:textFill>
        </w:rPr>
      </w:pPr>
      <w:r>
        <w:rPr>
          <w:rFonts w:hint="default" w:eastAsia="仿宋_GB2312"/>
          <w:color w:val="000000" w:themeColor="text1"/>
          <w:sz w:val="32"/>
          <w:szCs w:val="32"/>
          <w:lang w:val="en-US" w:eastAsia="zh-CN"/>
          <w14:textFill>
            <w14:solidFill>
              <w14:schemeClr w14:val="tx1"/>
            </w14:solidFill>
          </w14:textFill>
        </w:rPr>
        <w:t>该产品列入《免于临床评价医疗器械目录》，申请人无需提交临床评价资料。</w:t>
      </w:r>
    </w:p>
    <w:p>
      <w:pPr>
        <w:numPr>
          <w:ilvl w:val="-1"/>
          <w:numId w:val="0"/>
        </w:numPr>
        <w:spacing w:line="360" w:lineRule="auto"/>
        <w:ind w:left="0" w:leftChars="0" w:right="-67" w:rightChars="-32" w:firstLine="739" w:firstLineChars="231"/>
        <w:rPr>
          <w:rFonts w:hint="default" w:eastAsia="楷体_GB2312"/>
          <w:bCs/>
          <w:color w:val="000000"/>
          <w:sz w:val="32"/>
          <w:szCs w:val="32"/>
          <w:lang w:val="en-US" w:eastAsia="zh-CN"/>
        </w:rPr>
      </w:pPr>
      <w:r>
        <w:rPr>
          <w:rFonts w:eastAsia="仿宋_GB2312"/>
          <w:color w:val="000000"/>
          <w:kern w:val="1"/>
          <w:sz w:val="32"/>
          <w:szCs w:val="28"/>
          <w:lang w:eastAsia="ar-SA" w:bidi="ar"/>
        </w:rPr>
        <w:t>豁免情况不包括使用了新材料、活性成分、新技术、新设计或具有新作用机理、新功能的产品。</w:t>
      </w:r>
    </w:p>
    <w:p>
      <w:pPr>
        <w:numPr>
          <w:ilvl w:val="-1"/>
          <w:numId w:val="0"/>
        </w:numPr>
        <w:spacing w:line="360" w:lineRule="auto"/>
        <w:ind w:left="0" w:leftChars="0" w:right="-67" w:rightChars="-32" w:firstLine="640" w:firstLineChars="200"/>
        <w:rPr>
          <w:rFonts w:eastAsia="楷体_GB2312"/>
          <w:color w:val="000000"/>
          <w:sz w:val="32"/>
          <w:szCs w:val="32"/>
        </w:rPr>
      </w:pPr>
      <w:r>
        <w:rPr>
          <w:rFonts w:hint="eastAsia" w:eastAsia="楷体_GB2312"/>
          <w:color w:val="000000"/>
          <w:sz w:val="32"/>
          <w:szCs w:val="32"/>
          <w:lang w:eastAsia="zh-CN"/>
        </w:rPr>
        <w:t>（</w:t>
      </w:r>
      <w:r>
        <w:rPr>
          <w:rFonts w:hint="eastAsia" w:eastAsia="楷体_GB2312"/>
          <w:color w:val="000000"/>
          <w:sz w:val="32"/>
          <w:szCs w:val="32"/>
          <w:lang w:val="en-US" w:eastAsia="zh-CN"/>
        </w:rPr>
        <w:t>五</w:t>
      </w:r>
      <w:r>
        <w:rPr>
          <w:rFonts w:hint="eastAsia" w:eastAsia="楷体_GB2312"/>
          <w:color w:val="000000"/>
          <w:sz w:val="32"/>
          <w:szCs w:val="32"/>
          <w:lang w:eastAsia="zh-CN"/>
        </w:rPr>
        <w:t>）</w:t>
      </w:r>
      <w:r>
        <w:rPr>
          <w:rFonts w:hint="eastAsia" w:eastAsia="楷体_GB2312"/>
          <w:color w:val="000000"/>
          <w:sz w:val="32"/>
          <w:szCs w:val="32"/>
        </w:rPr>
        <w:t>产品说明书和标签样稿</w:t>
      </w:r>
    </w:p>
    <w:p>
      <w:pPr>
        <w:spacing w:line="360" w:lineRule="auto"/>
        <w:ind w:firstLine="640" w:firstLineChars="200"/>
        <w:rPr>
          <w:rFonts w:eastAsia="仿宋_GB2312"/>
          <w:color w:val="000000" w:themeColor="text1"/>
          <w:sz w:val="32"/>
          <w:szCs w:val="32"/>
          <w14:textFill>
            <w14:solidFill>
              <w14:schemeClr w14:val="tx1"/>
            </w14:solidFill>
          </w14:textFill>
        </w:rPr>
      </w:pPr>
      <w:r>
        <w:rPr>
          <w:rFonts w:eastAsia="仿宋_GB2312"/>
          <w:color w:val="000000"/>
          <w:kern w:val="1"/>
          <w:sz w:val="32"/>
          <w:szCs w:val="28"/>
          <w:lang w:eastAsia="ar-SA"/>
        </w:rPr>
        <w:t>医疗器械注册申报资料应提供说明书和标签样稿，说明书、标签应当符合《医疗器械说明书和标签管理规定》（国家食品药品监督管理总局令第6号）、YY/T 0466.1《医疗器械用于医疗器械标签、标记和提供信息的符号第1部分：通用要求》的要求。</w:t>
      </w:r>
      <w:r>
        <w:rPr>
          <w:rFonts w:hint="default" w:eastAsia="仿宋_GB2312"/>
          <w:color w:val="000000" w:themeColor="text1"/>
          <w:kern w:val="1"/>
          <w:sz w:val="32"/>
          <w:szCs w:val="28"/>
          <w:lang w:eastAsia="ar-SA"/>
          <w14:textFill>
            <w14:solidFill>
              <w14:schemeClr w14:val="tx1"/>
            </w14:solidFill>
          </w14:textFill>
        </w:rPr>
        <w:t>提交的文本和标签样图应内容清晰、完整。说明书中所描述的适用范围、应用技术、禁忌症等应与产品的临床评价保持一致。产品的描述、结构组成、货架有效期</w:t>
      </w:r>
      <w:r>
        <w:rPr>
          <w:rFonts w:hint="eastAsia" w:eastAsia="仿宋_GB2312"/>
          <w:color w:val="000000"/>
          <w:kern w:val="1"/>
          <w:sz w:val="32"/>
          <w:szCs w:val="28"/>
          <w:lang w:eastAsia="zh-CN"/>
        </w:rPr>
        <w:t>（使用期限）</w:t>
      </w:r>
      <w:r>
        <w:rPr>
          <w:rFonts w:hint="default" w:eastAsia="仿宋_GB2312"/>
          <w:color w:val="000000" w:themeColor="text1"/>
          <w:kern w:val="1"/>
          <w:sz w:val="32"/>
          <w:szCs w:val="28"/>
          <w:lang w:eastAsia="ar-SA"/>
          <w14:textFill>
            <w14:solidFill>
              <w14:schemeClr w14:val="tx1"/>
            </w14:solidFill>
          </w14:textFill>
        </w:rPr>
        <w:t>等应与综述资料和研究资料中所描述及验证的内容一致。</w:t>
      </w:r>
    </w:p>
    <w:p>
      <w:pPr>
        <w:suppressAutoHyphens/>
        <w:spacing w:line="360" w:lineRule="auto"/>
        <w:ind w:firstLine="640" w:firstLineChars="200"/>
        <w:rPr>
          <w:rFonts w:eastAsia="仿宋_GB2312"/>
          <w:color w:val="000000"/>
          <w:kern w:val="1"/>
          <w:sz w:val="32"/>
          <w:szCs w:val="28"/>
          <w:lang w:eastAsia="ar-SA"/>
        </w:rPr>
      </w:pPr>
      <w:r>
        <w:rPr>
          <w:rFonts w:eastAsia="仿宋_GB2312"/>
          <w:color w:val="000000"/>
          <w:kern w:val="1"/>
          <w:sz w:val="32"/>
          <w:szCs w:val="28"/>
          <w:lang w:eastAsia="ar-SA"/>
        </w:rPr>
        <w:t>说明书不应宣称没有依据和夸大了的产品性能指标，应实事求是地介绍产品的特点。凡宣称产品性能和特点的，应有产品技术要求或提交的注册技术资料依据。不使用“系列”、“等”、“无毒”、“对人体无害”等含混和绝对性用词。</w:t>
      </w:r>
    </w:p>
    <w:p>
      <w:pPr>
        <w:suppressAutoHyphens/>
        <w:spacing w:line="360" w:lineRule="auto"/>
        <w:ind w:firstLine="640" w:firstLineChars="200"/>
        <w:rPr>
          <w:rFonts w:eastAsia="仿宋_GB2312"/>
          <w:color w:val="000000"/>
          <w:kern w:val="1"/>
          <w:sz w:val="32"/>
          <w:szCs w:val="28"/>
          <w:lang w:eastAsia="ar-SA"/>
        </w:rPr>
      </w:pPr>
      <w:r>
        <w:rPr>
          <w:rFonts w:eastAsia="仿宋_GB2312"/>
          <w:color w:val="000000"/>
          <w:kern w:val="1"/>
          <w:sz w:val="32"/>
          <w:szCs w:val="28"/>
          <w:lang w:eastAsia="ar-SA"/>
        </w:rPr>
        <w:t>由于</w:t>
      </w:r>
      <w:r>
        <w:rPr>
          <w:rFonts w:hint="eastAsia" w:eastAsia="仿宋_GB2312"/>
          <w:color w:val="000000"/>
          <w:kern w:val="1"/>
          <w:sz w:val="32"/>
          <w:szCs w:val="28"/>
        </w:rPr>
        <w:t>牙科喷砂粉是一种</w:t>
      </w:r>
      <w:r>
        <w:rPr>
          <w:rFonts w:hint="eastAsia" w:eastAsia="仿宋_GB2312"/>
          <w:color w:val="000000" w:themeColor="text1"/>
          <w:sz w:val="32"/>
          <w:szCs w:val="32"/>
          <w14:textFill>
            <w14:solidFill>
              <w14:schemeClr w14:val="tx1"/>
            </w14:solidFill>
          </w14:textFill>
        </w:rPr>
        <w:t>口腔治疗辅助材料</w:t>
      </w:r>
      <w:r>
        <w:rPr>
          <w:rFonts w:eastAsia="仿宋_GB2312"/>
          <w:color w:val="000000"/>
          <w:kern w:val="1"/>
          <w:sz w:val="32"/>
          <w:szCs w:val="28"/>
          <w:lang w:eastAsia="ar-SA"/>
        </w:rPr>
        <w:t>，</w:t>
      </w:r>
      <w:r>
        <w:rPr>
          <w:rFonts w:hint="eastAsia" w:eastAsia="仿宋_GB2312"/>
          <w:color w:val="000000"/>
          <w:kern w:val="1"/>
          <w:sz w:val="32"/>
          <w:szCs w:val="28"/>
        </w:rPr>
        <w:t>为粉末状</w:t>
      </w:r>
      <w:r>
        <w:rPr>
          <w:rFonts w:eastAsia="仿宋_GB2312"/>
          <w:color w:val="000000"/>
          <w:kern w:val="1"/>
          <w:sz w:val="32"/>
          <w:szCs w:val="28"/>
          <w:lang w:eastAsia="ar-SA"/>
        </w:rPr>
        <w:t>，</w:t>
      </w:r>
      <w:r>
        <w:rPr>
          <w:rFonts w:hint="eastAsia" w:eastAsia="仿宋_GB2312"/>
          <w:color w:val="000000"/>
          <w:kern w:val="1"/>
          <w:sz w:val="32"/>
          <w:szCs w:val="28"/>
        </w:rPr>
        <w:t>组成中有食品级材料成分，</w:t>
      </w:r>
      <w:r>
        <w:rPr>
          <w:rFonts w:eastAsia="仿宋_GB2312"/>
          <w:color w:val="000000"/>
          <w:kern w:val="1"/>
          <w:sz w:val="32"/>
          <w:szCs w:val="28"/>
          <w:lang w:eastAsia="ar-SA"/>
        </w:rPr>
        <w:t>为避免</w:t>
      </w:r>
      <w:r>
        <w:rPr>
          <w:rFonts w:hint="eastAsia" w:eastAsia="仿宋_GB2312"/>
          <w:color w:val="000000"/>
          <w:kern w:val="1"/>
          <w:sz w:val="32"/>
          <w:szCs w:val="28"/>
        </w:rPr>
        <w:t>过期使用和</w:t>
      </w:r>
      <w:r>
        <w:rPr>
          <w:rFonts w:eastAsia="仿宋_GB2312"/>
          <w:color w:val="000000"/>
          <w:kern w:val="1"/>
          <w:sz w:val="32"/>
          <w:szCs w:val="28"/>
          <w:lang w:eastAsia="ar-SA"/>
        </w:rPr>
        <w:t>意外伤害，在以上的规定和标准中，应特别注意：</w:t>
      </w:r>
    </w:p>
    <w:p>
      <w:pPr>
        <w:numPr>
          <w:ilvl w:val="-1"/>
          <w:numId w:val="0"/>
        </w:numPr>
        <w:suppressAutoHyphens/>
        <w:spacing w:line="360" w:lineRule="auto"/>
        <w:ind w:firstLine="640" w:firstLineChars="200"/>
        <w:rPr>
          <w:rFonts w:eastAsia="仿宋_GB2312"/>
          <w:color w:val="000000" w:themeColor="text1"/>
          <w:kern w:val="1"/>
          <w:sz w:val="32"/>
          <w:szCs w:val="28"/>
          <w:lang w:eastAsia="ar-SA"/>
          <w14:textFill>
            <w14:solidFill>
              <w14:schemeClr w14:val="tx1"/>
            </w14:solidFill>
          </w14:textFill>
        </w:rPr>
      </w:pPr>
      <w:r>
        <w:rPr>
          <w:rFonts w:hint="eastAsia" w:eastAsia="仿宋_GB2312"/>
          <w:color w:val="000000" w:themeColor="text1"/>
          <w:kern w:val="1"/>
          <w:sz w:val="32"/>
          <w:szCs w:val="28"/>
          <w:lang w:val="en-US" w:eastAsia="zh-CN"/>
          <w14:textFill>
            <w14:solidFill>
              <w14:schemeClr w14:val="tx1"/>
            </w14:solidFill>
          </w14:textFill>
        </w:rPr>
        <w:t>1.</w:t>
      </w:r>
      <w:r>
        <w:rPr>
          <w:rFonts w:eastAsia="仿宋_GB2312"/>
          <w:color w:val="000000" w:themeColor="text1"/>
          <w:kern w:val="1"/>
          <w:sz w:val="32"/>
          <w:szCs w:val="28"/>
          <w:lang w:eastAsia="ar-SA"/>
          <w14:textFill>
            <w14:solidFill>
              <w14:schemeClr w14:val="tx1"/>
            </w14:solidFill>
          </w14:textFill>
        </w:rPr>
        <w:t>产品的主要</w:t>
      </w:r>
      <w:r>
        <w:rPr>
          <w:rFonts w:hint="eastAsia" w:eastAsia="仿宋_GB2312"/>
          <w:color w:val="000000" w:themeColor="text1"/>
          <w:kern w:val="1"/>
          <w:sz w:val="32"/>
          <w:szCs w:val="28"/>
          <w14:textFill>
            <w14:solidFill>
              <w14:schemeClr w14:val="tx1"/>
            </w14:solidFill>
          </w14:textFill>
        </w:rPr>
        <w:t>成分：应注明产品的主要成分，包括基础成分及添加剂。</w:t>
      </w:r>
      <w:r>
        <w:rPr>
          <w:rFonts w:hint="cs" w:eastAsia="仿宋_GB2312"/>
          <w:color w:val="000000" w:themeColor="text1"/>
          <w:kern w:val="1"/>
          <w:sz w:val="32"/>
          <w:szCs w:val="28"/>
          <w:lang w:eastAsia="ar-SA"/>
          <w14:textFill>
            <w14:solidFill>
              <w14:schemeClr w14:val="tx1"/>
            </w14:solidFill>
          </w14:textFill>
        </w:rPr>
        <w:t xml:space="preserve"> </w:t>
      </w:r>
    </w:p>
    <w:p>
      <w:pPr>
        <w:numPr>
          <w:ilvl w:val="-1"/>
          <w:numId w:val="0"/>
        </w:numPr>
        <w:suppressAutoHyphens/>
        <w:spacing w:line="360" w:lineRule="auto"/>
        <w:ind w:firstLine="640" w:firstLineChars="200"/>
        <w:rPr>
          <w:rFonts w:eastAsia="仿宋_GB2312"/>
          <w:color w:val="000000"/>
          <w:kern w:val="1"/>
          <w:sz w:val="32"/>
          <w:szCs w:val="28"/>
        </w:rPr>
      </w:pPr>
      <w:r>
        <w:rPr>
          <w:rFonts w:hint="eastAsia" w:eastAsia="仿宋_GB2312"/>
          <w:color w:val="000000" w:themeColor="text1"/>
          <w:kern w:val="1"/>
          <w:sz w:val="32"/>
          <w:szCs w:val="28"/>
          <w:lang w:val="en-US" w:eastAsia="zh-CN"/>
          <w14:textFill>
            <w14:solidFill>
              <w14:schemeClr w14:val="tx1"/>
            </w14:solidFill>
          </w14:textFill>
        </w:rPr>
        <w:t>2.</w:t>
      </w:r>
      <w:r>
        <w:rPr>
          <w:rFonts w:hint="eastAsia" w:eastAsia="仿宋_GB2312"/>
          <w:color w:val="000000" w:themeColor="text1"/>
          <w:kern w:val="1"/>
          <w:sz w:val="32"/>
          <w:szCs w:val="28"/>
          <w14:textFill>
            <w14:solidFill>
              <w14:schemeClr w14:val="tx1"/>
            </w14:solidFill>
          </w14:textFill>
        </w:rPr>
        <w:t>产品有效期:产品有效期</w:t>
      </w:r>
      <w:r>
        <w:rPr>
          <w:rFonts w:eastAsia="仿宋_GB2312"/>
          <w:color w:val="000000"/>
          <w:kern w:val="1"/>
          <w:sz w:val="32"/>
          <w:szCs w:val="28"/>
          <w:lang w:eastAsia="ar-SA"/>
        </w:rPr>
        <w:t>的确定方法应在产品研究资料中明确</w:t>
      </w:r>
      <w:r>
        <w:rPr>
          <w:rFonts w:hint="eastAsia" w:eastAsia="仿宋_GB2312"/>
          <w:color w:val="000000"/>
          <w:kern w:val="1"/>
          <w:sz w:val="32"/>
          <w:szCs w:val="28"/>
        </w:rPr>
        <w:t>；</w:t>
      </w:r>
    </w:p>
    <w:p>
      <w:pPr>
        <w:numPr>
          <w:ilvl w:val="-1"/>
          <w:numId w:val="0"/>
        </w:numPr>
        <w:spacing w:line="360" w:lineRule="auto"/>
        <w:ind w:right="0" w:rightChars="0" w:firstLine="640" w:firstLineChars="200"/>
        <w:rPr>
          <w:rFonts w:hint="eastAsia" w:eastAsia="仿宋_GB2312"/>
          <w:color w:val="000000" w:themeColor="text1"/>
          <w:kern w:val="1"/>
          <w:sz w:val="32"/>
          <w:szCs w:val="28"/>
          <w14:textFill>
            <w14:solidFill>
              <w14:schemeClr w14:val="tx1"/>
            </w14:solidFill>
          </w14:textFill>
        </w:rPr>
      </w:pPr>
      <w:r>
        <w:rPr>
          <w:rFonts w:hint="eastAsia" w:eastAsia="仿宋_GB2312"/>
          <w:color w:val="000000"/>
          <w:kern w:val="1"/>
          <w:sz w:val="32"/>
          <w:szCs w:val="28"/>
          <w:lang w:val="en-US" w:eastAsia="zh-CN"/>
        </w:rPr>
        <w:t>3.</w:t>
      </w:r>
      <w:r>
        <w:rPr>
          <w:rFonts w:hint="eastAsia" w:eastAsia="仿宋_GB2312"/>
          <w:color w:val="000000"/>
          <w:kern w:val="1"/>
          <w:sz w:val="32"/>
          <w:szCs w:val="28"/>
        </w:rPr>
        <w:t>推荐的贮存条件：明确允许的贮存条件，是否需要避免高温、潮气；</w:t>
      </w:r>
    </w:p>
    <w:p>
      <w:pPr>
        <w:numPr>
          <w:ilvl w:val="-1"/>
          <w:numId w:val="0"/>
        </w:numPr>
        <w:spacing w:line="360" w:lineRule="auto"/>
        <w:ind w:right="0" w:rightChars="0" w:firstLine="640" w:firstLineChars="200"/>
        <w:rPr>
          <w:rFonts w:hint="eastAsia" w:eastAsia="仿宋_GB2312"/>
          <w:color w:val="000000" w:themeColor="text1"/>
          <w:kern w:val="1"/>
          <w:sz w:val="32"/>
          <w:szCs w:val="28"/>
          <w14:textFill>
            <w14:solidFill>
              <w14:schemeClr w14:val="tx1"/>
            </w14:solidFill>
          </w14:textFill>
        </w:rPr>
      </w:pPr>
      <w:r>
        <w:rPr>
          <w:rFonts w:hint="eastAsia" w:eastAsia="仿宋_GB2312"/>
          <w:color w:val="000000" w:themeColor="text1"/>
          <w:kern w:val="1"/>
          <w:sz w:val="32"/>
          <w:szCs w:val="28"/>
          <w:lang w:val="en-US" w:eastAsia="zh-CN"/>
          <w14:textFill>
            <w14:solidFill>
              <w14:schemeClr w14:val="tx1"/>
            </w14:solidFill>
          </w14:textFill>
        </w:rPr>
        <w:t>4.使用</w:t>
      </w:r>
      <w:r>
        <w:rPr>
          <w:rFonts w:hint="eastAsia" w:eastAsia="仿宋_GB2312"/>
          <w:color w:val="000000" w:themeColor="text1"/>
          <w:kern w:val="1"/>
          <w:sz w:val="32"/>
          <w:szCs w:val="28"/>
          <w14:textFill>
            <w14:solidFill>
              <w14:schemeClr w14:val="tx1"/>
            </w14:solidFill>
          </w14:textFill>
        </w:rPr>
        <w:t>方法、治疗建议：说明产品如何配合喷砂机使用；说明产品作用的部位（如龈上、龈下），以提示使用者慎重使用；说明喷砂过程中对医护人员和患者的保护措施；产品废弃后的处理方式等。</w:t>
      </w:r>
    </w:p>
    <w:p>
      <w:pPr>
        <w:numPr>
          <w:ilvl w:val="-1"/>
          <w:numId w:val="0"/>
        </w:numPr>
        <w:spacing w:line="360" w:lineRule="auto"/>
        <w:ind w:right="0" w:rightChars="0" w:firstLine="640" w:firstLineChars="200"/>
        <w:rPr>
          <w:rFonts w:hint="eastAsia" w:eastAsia="仿宋_GB2312"/>
          <w:color w:val="000000" w:themeColor="text1"/>
          <w:kern w:val="1"/>
          <w:sz w:val="32"/>
          <w:szCs w:val="28"/>
          <w14:textFill>
            <w14:solidFill>
              <w14:schemeClr w14:val="tx1"/>
            </w14:solidFill>
          </w14:textFill>
        </w:rPr>
      </w:pPr>
      <w:r>
        <w:rPr>
          <w:rFonts w:hint="eastAsia" w:eastAsia="仿宋_GB2312"/>
          <w:color w:val="000000" w:themeColor="text1"/>
          <w:kern w:val="1"/>
          <w:sz w:val="32"/>
          <w:szCs w:val="28"/>
          <w:lang w:val="en-US" w:eastAsia="zh-CN"/>
          <w14:textFill>
            <w14:solidFill>
              <w14:schemeClr w14:val="tx1"/>
            </w14:solidFill>
          </w14:textFill>
        </w:rPr>
        <w:t>5.</w:t>
      </w:r>
      <w:r>
        <w:rPr>
          <w:rFonts w:hint="eastAsia" w:eastAsia="仿宋_GB2312"/>
          <w:color w:val="000000" w:themeColor="text1"/>
          <w:kern w:val="1"/>
          <w:sz w:val="32"/>
          <w:szCs w:val="28"/>
          <w14:textFill>
            <w14:solidFill>
              <w14:schemeClr w14:val="tx1"/>
            </w14:solidFill>
          </w14:textFill>
        </w:rPr>
        <w:t>注意事项一般应有以下内容：治疗后未使用完的砂粉请勿倒回包装瓶中；打开砂粉瓶后及时盖上瓶盖并拧紧，以免砂粉受潮影响使用；喷砂洁治设备长时间不使用时，请将设备粉罐中的砂粉清理干净</w:t>
      </w:r>
      <w:r>
        <w:rPr>
          <w:rFonts w:hint="eastAsia" w:eastAsia="仿宋_GB2312"/>
          <w:color w:val="000000" w:themeColor="text1"/>
          <w:kern w:val="1"/>
          <w:sz w:val="32"/>
          <w:szCs w:val="28"/>
          <w:lang w:val="en-US" w:eastAsia="zh-CN"/>
          <w14:textFill>
            <w14:solidFill>
              <w14:schemeClr w14:val="tx1"/>
            </w14:solidFill>
          </w14:textFill>
        </w:rPr>
        <w:t>后再重新倒入新的喷砂粉</w:t>
      </w:r>
      <w:r>
        <w:rPr>
          <w:rFonts w:hint="eastAsia" w:eastAsia="仿宋_GB2312"/>
          <w:color w:val="000000" w:themeColor="text1"/>
          <w:kern w:val="1"/>
          <w:sz w:val="32"/>
          <w:szCs w:val="28"/>
          <w14:textFill>
            <w14:solidFill>
              <w14:schemeClr w14:val="tx1"/>
            </w14:solidFill>
          </w14:textFill>
        </w:rPr>
        <w:t>，以免</w:t>
      </w:r>
      <w:r>
        <w:rPr>
          <w:rFonts w:hint="eastAsia" w:eastAsia="仿宋_GB2312"/>
          <w:color w:val="000000" w:themeColor="text1"/>
          <w:kern w:val="1"/>
          <w:sz w:val="32"/>
          <w:szCs w:val="28"/>
          <w:lang w:val="en-US" w:eastAsia="zh-CN"/>
          <w14:textFill>
            <w14:solidFill>
              <w14:schemeClr w14:val="tx1"/>
            </w14:solidFill>
          </w14:textFill>
        </w:rPr>
        <w:t>喷砂粉</w:t>
      </w:r>
      <w:r>
        <w:rPr>
          <w:rFonts w:hint="eastAsia" w:eastAsia="仿宋_GB2312"/>
          <w:color w:val="000000" w:themeColor="text1"/>
          <w:kern w:val="1"/>
          <w:sz w:val="32"/>
          <w:szCs w:val="28"/>
          <w14:textFill>
            <w14:solidFill>
              <w14:schemeClr w14:val="tx1"/>
            </w14:solidFill>
          </w14:textFill>
        </w:rPr>
        <w:t>受潮结块，造成设备堵塞。</w:t>
      </w:r>
    </w:p>
    <w:p>
      <w:pPr>
        <w:numPr>
          <w:ilvl w:val="-1"/>
          <w:numId w:val="0"/>
        </w:numPr>
        <w:spacing w:line="360" w:lineRule="auto"/>
        <w:ind w:right="0" w:rightChars="0" w:firstLine="640" w:firstLineChars="200"/>
        <w:rPr>
          <w:rFonts w:hint="eastAsia" w:eastAsia="仿宋_GB2312"/>
          <w:color w:val="000000" w:themeColor="text1"/>
          <w:kern w:val="1"/>
          <w:sz w:val="32"/>
          <w:szCs w:val="28"/>
          <w14:textFill>
            <w14:solidFill>
              <w14:schemeClr w14:val="tx1"/>
            </w14:solidFill>
          </w14:textFill>
        </w:rPr>
      </w:pPr>
      <w:r>
        <w:rPr>
          <w:rFonts w:hint="eastAsia" w:eastAsia="仿宋_GB2312"/>
          <w:color w:val="000000" w:themeColor="text1"/>
          <w:kern w:val="1"/>
          <w:sz w:val="32"/>
          <w:szCs w:val="28"/>
          <w:lang w:val="en-US" w:eastAsia="zh-CN"/>
          <w14:textFill>
            <w14:solidFill>
              <w14:schemeClr w14:val="tx1"/>
            </w14:solidFill>
          </w14:textFill>
        </w:rPr>
        <w:t>6.</w:t>
      </w:r>
      <w:r>
        <w:rPr>
          <w:rFonts w:hint="eastAsia" w:eastAsia="仿宋_GB2312"/>
          <w:color w:val="000000" w:themeColor="text1"/>
          <w:kern w:val="1"/>
          <w:sz w:val="32"/>
          <w:szCs w:val="28"/>
          <w14:textFill>
            <w14:solidFill>
              <w14:schemeClr w14:val="tx1"/>
            </w14:solidFill>
          </w14:textFill>
        </w:rPr>
        <w:t>禁忌症至少包括以下内容：已知对牙科喷砂粉所含成分过敏者；任何情况下均不得使用喷砂洁治设备及该砂粉为患有慢性支气管炎或哮喘的患者进行治疗，因为喷出的气体和砂粉可能造成呼吸困难。</w:t>
      </w:r>
    </w:p>
    <w:p>
      <w:pPr>
        <w:numPr>
          <w:ilvl w:val="0"/>
          <w:numId w:val="4"/>
        </w:numPr>
        <w:spacing w:line="360" w:lineRule="auto"/>
        <w:ind w:right="-67" w:rightChars="-32" w:firstLine="640" w:firstLineChars="200"/>
        <w:rPr>
          <w:rFonts w:hint="eastAsia" w:eastAsia="黑体"/>
          <w:color w:val="000000"/>
          <w:sz w:val="32"/>
          <w:szCs w:val="32"/>
          <w:lang w:val="en-US" w:eastAsia="zh-CN"/>
        </w:rPr>
      </w:pPr>
      <w:r>
        <w:rPr>
          <w:rFonts w:hint="eastAsia" w:eastAsia="黑体"/>
          <w:color w:val="000000"/>
          <w:sz w:val="32"/>
          <w:szCs w:val="32"/>
          <w:lang w:val="en-US" w:eastAsia="zh-CN"/>
        </w:rPr>
        <w:t>参考文献</w:t>
      </w:r>
    </w:p>
    <w:p>
      <w:pPr>
        <w:spacing w:line="360" w:lineRule="auto"/>
        <w:ind w:right="0" w:rightChars="0" w:firstLine="640" w:firstLineChars="200"/>
        <w:rPr>
          <w:rFonts w:hint="eastAsia" w:ascii="仿宋_GB2312" w:eastAsia="仿宋_GB2312"/>
          <w:bCs/>
          <w:color w:val="000000"/>
          <w:kern w:val="2"/>
          <w:sz w:val="32"/>
          <w:szCs w:val="32"/>
        </w:rPr>
      </w:pPr>
      <w:r>
        <w:rPr>
          <w:rFonts w:hint="eastAsia" w:ascii="仿宋_GB2312" w:eastAsia="仿宋_GB2312"/>
          <w:bCs/>
          <w:color w:val="000000"/>
          <w:sz w:val="32"/>
          <w:szCs w:val="32"/>
        </w:rPr>
        <w:t>[1]</w:t>
      </w:r>
      <w:r>
        <w:rPr>
          <w:rFonts w:hint="eastAsia" w:ascii="仿宋_GB2312" w:eastAsia="仿宋_GB2312"/>
          <w:bCs/>
          <w:color w:val="000000"/>
          <w:kern w:val="2"/>
          <w:sz w:val="32"/>
          <w:szCs w:val="32"/>
        </w:rPr>
        <w:t>GB/T 191</w:t>
      </w:r>
      <w:r>
        <w:rPr>
          <w:rFonts w:hint="eastAsia" w:ascii="仿宋_GB2312" w:eastAsia="仿宋_GB2312"/>
          <w:bCs/>
          <w:color w:val="000000"/>
          <w:kern w:val="2"/>
          <w:sz w:val="32"/>
          <w:szCs w:val="32"/>
          <w:lang w:val="en-US" w:eastAsia="zh-CN"/>
        </w:rPr>
        <w:t>-2008</w:t>
      </w:r>
      <w:r>
        <w:rPr>
          <w:rFonts w:hint="eastAsia" w:ascii="仿宋_GB2312" w:eastAsia="仿宋_GB2312"/>
          <w:bCs/>
          <w:color w:val="000000"/>
          <w:kern w:val="2"/>
          <w:sz w:val="32"/>
          <w:szCs w:val="32"/>
          <w:lang w:eastAsia="zh-CN"/>
        </w:rPr>
        <w:t>，</w:t>
      </w:r>
      <w:r>
        <w:rPr>
          <w:rFonts w:hint="eastAsia" w:ascii="仿宋_GB2312" w:eastAsia="仿宋_GB2312"/>
          <w:bCs/>
          <w:color w:val="000000"/>
          <w:kern w:val="2"/>
          <w:sz w:val="32"/>
          <w:szCs w:val="32"/>
        </w:rPr>
        <w:t>包装储运图示标志</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2</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GB/T 16886.1</w:t>
      </w:r>
      <w:r>
        <w:rPr>
          <w:rFonts w:hint="eastAsia" w:ascii="仿宋_GB2312" w:eastAsia="仿宋_GB2312"/>
          <w:bCs/>
          <w:color w:val="000000"/>
          <w:kern w:val="2"/>
          <w:sz w:val="32"/>
          <w:szCs w:val="32"/>
        </w:rPr>
        <w:t>-2011</w:t>
      </w:r>
      <w:r>
        <w:rPr>
          <w:rFonts w:hint="eastAsia" w:ascii="仿宋_GB2312" w:eastAsia="仿宋_GB2312"/>
          <w:bCs/>
          <w:color w:val="000000"/>
          <w:kern w:val="2"/>
          <w:sz w:val="32"/>
          <w:szCs w:val="32"/>
          <w:lang w:eastAsia="zh-CN"/>
        </w:rPr>
        <w:t>，医疗器械生物学评价 第1部分：风险管理过程中的评价与试验</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3</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GB/T 16886.5</w:t>
      </w:r>
      <w:r>
        <w:rPr>
          <w:rFonts w:hint="eastAsia" w:ascii="仿宋_GB2312" w:eastAsia="仿宋_GB2312"/>
          <w:bCs/>
          <w:color w:val="000000"/>
          <w:kern w:val="2"/>
          <w:sz w:val="32"/>
          <w:szCs w:val="32"/>
          <w:lang w:val="en-US" w:eastAsia="zh-CN"/>
        </w:rPr>
        <w:t>-2003</w:t>
      </w:r>
      <w:r>
        <w:rPr>
          <w:rFonts w:hint="eastAsia" w:ascii="仿宋_GB2312" w:eastAsia="仿宋_GB2312"/>
          <w:bCs/>
          <w:color w:val="000000"/>
          <w:kern w:val="2"/>
          <w:sz w:val="32"/>
          <w:szCs w:val="32"/>
          <w:lang w:eastAsia="zh-CN"/>
        </w:rPr>
        <w:t>，医疗器械生物学评价 第5部分：体外细胞毒性试验</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4</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GB/T 16886.10</w:t>
      </w:r>
      <w:r>
        <w:rPr>
          <w:rFonts w:hint="eastAsia" w:ascii="仿宋_GB2312" w:eastAsia="仿宋_GB2312"/>
          <w:bCs/>
          <w:color w:val="000000"/>
          <w:kern w:val="2"/>
          <w:sz w:val="32"/>
          <w:szCs w:val="32"/>
        </w:rPr>
        <w:t>-2017</w:t>
      </w:r>
      <w:r>
        <w:rPr>
          <w:rFonts w:hint="eastAsia" w:ascii="仿宋_GB2312" w:eastAsia="仿宋_GB2312"/>
          <w:bCs/>
          <w:color w:val="000000"/>
          <w:kern w:val="2"/>
          <w:sz w:val="32"/>
          <w:szCs w:val="32"/>
          <w:lang w:eastAsia="zh-CN"/>
        </w:rPr>
        <w:t>，医疗器械生物学评价 第10部分：刺激与皮肤致敏试验</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5</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YY/T 0316</w:t>
      </w:r>
      <w:r>
        <w:rPr>
          <w:rFonts w:hint="eastAsia" w:ascii="仿宋_GB2312" w:eastAsia="仿宋_GB2312"/>
          <w:bCs/>
          <w:color w:val="000000"/>
          <w:kern w:val="2"/>
          <w:sz w:val="32"/>
          <w:szCs w:val="32"/>
          <w:lang w:val="en-US" w:eastAsia="zh-CN"/>
        </w:rPr>
        <w:t>-2016</w:t>
      </w:r>
      <w:r>
        <w:rPr>
          <w:rFonts w:hint="eastAsia" w:ascii="仿宋_GB2312" w:eastAsia="仿宋_GB2312"/>
          <w:bCs/>
          <w:color w:val="000000"/>
          <w:kern w:val="2"/>
          <w:sz w:val="32"/>
          <w:szCs w:val="32"/>
          <w:lang w:eastAsia="zh-CN"/>
        </w:rPr>
        <w:t>，医疗器械风险管理对医疗器械的应用</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6</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YY/T 0268</w:t>
      </w:r>
      <w:r>
        <w:rPr>
          <w:rFonts w:hint="eastAsia" w:ascii="仿宋_GB2312" w:eastAsia="仿宋_GB2312"/>
          <w:bCs/>
          <w:color w:val="000000"/>
          <w:kern w:val="2"/>
          <w:sz w:val="32"/>
          <w:szCs w:val="32"/>
          <w:lang w:val="en-US" w:eastAsia="zh-CN"/>
        </w:rPr>
        <w:t>-2008</w:t>
      </w:r>
      <w:r>
        <w:rPr>
          <w:rFonts w:hint="eastAsia" w:ascii="仿宋_GB2312" w:eastAsia="仿宋_GB2312"/>
          <w:bCs/>
          <w:color w:val="000000"/>
          <w:kern w:val="2"/>
          <w:sz w:val="32"/>
          <w:szCs w:val="32"/>
          <w:lang w:eastAsia="zh-CN"/>
        </w:rPr>
        <w:t>，牙科学 口腔医疗器械生物学评价 第1单元：评价与试验</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7</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YY/T 0466.</w:t>
      </w:r>
      <w:r>
        <w:rPr>
          <w:rFonts w:hint="eastAsia" w:ascii="仿宋_GB2312" w:eastAsia="仿宋_GB2312"/>
          <w:bCs/>
          <w:color w:val="000000"/>
          <w:kern w:val="2"/>
          <w:sz w:val="32"/>
          <w:szCs w:val="32"/>
          <w:lang w:val="en-US" w:eastAsia="zh-CN"/>
        </w:rPr>
        <w:t>1</w:t>
      </w:r>
      <w:r>
        <w:rPr>
          <w:rFonts w:hint="eastAsia" w:ascii="仿宋_GB2312" w:eastAsia="仿宋_GB2312"/>
          <w:bCs/>
          <w:color w:val="000000"/>
          <w:kern w:val="2"/>
          <w:sz w:val="32"/>
          <w:szCs w:val="32"/>
        </w:rPr>
        <w:t>-2016</w:t>
      </w:r>
      <w:r>
        <w:rPr>
          <w:rFonts w:hint="eastAsia" w:ascii="仿宋_GB2312" w:eastAsia="仿宋_GB2312"/>
          <w:bCs/>
          <w:color w:val="000000"/>
          <w:kern w:val="2"/>
          <w:sz w:val="32"/>
          <w:szCs w:val="32"/>
          <w:lang w:eastAsia="zh-CN"/>
        </w:rPr>
        <w:t>，医疗器械 用于医疗器械标签、标记和提供信息的符号 第1部分：通用要求</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kern w:val="2"/>
          <w:sz w:val="32"/>
          <w:szCs w:val="32"/>
          <w:lang w:eastAsia="zh-CN"/>
        </w:rPr>
      </w:pPr>
      <w:r>
        <w:rPr>
          <w:rFonts w:hint="eastAsia" w:ascii="仿宋_GB2312" w:eastAsia="仿宋_GB2312"/>
          <w:bCs/>
          <w:color w:val="000000"/>
          <w:sz w:val="32"/>
          <w:szCs w:val="32"/>
        </w:rPr>
        <w:t>[</w:t>
      </w:r>
      <w:r>
        <w:rPr>
          <w:rFonts w:hint="eastAsia" w:ascii="仿宋_GB2312" w:eastAsia="仿宋_GB2312"/>
          <w:bCs/>
          <w:color w:val="000000"/>
          <w:sz w:val="32"/>
          <w:szCs w:val="32"/>
          <w:lang w:val="en-US" w:eastAsia="zh-CN"/>
        </w:rPr>
        <w:t>8</w:t>
      </w:r>
      <w:r>
        <w:rPr>
          <w:rFonts w:hint="eastAsia" w:ascii="仿宋_GB2312" w:eastAsia="仿宋_GB2312"/>
          <w:bCs/>
          <w:color w:val="000000"/>
          <w:sz w:val="32"/>
          <w:szCs w:val="32"/>
        </w:rPr>
        <w:t>]</w:t>
      </w:r>
      <w:r>
        <w:rPr>
          <w:rFonts w:hint="eastAsia" w:ascii="仿宋_GB2312" w:eastAsia="仿宋_GB2312"/>
          <w:bCs/>
          <w:color w:val="000000"/>
          <w:kern w:val="2"/>
          <w:sz w:val="32"/>
          <w:szCs w:val="32"/>
          <w:lang w:eastAsia="zh-CN"/>
        </w:rPr>
        <w:t>YY/T 1755</w:t>
      </w:r>
      <w:r>
        <w:rPr>
          <w:rFonts w:hint="eastAsia" w:ascii="仿宋_GB2312" w:eastAsia="仿宋_GB2312"/>
          <w:bCs/>
          <w:color w:val="000000"/>
          <w:kern w:val="2"/>
          <w:sz w:val="32"/>
          <w:szCs w:val="32"/>
          <w:lang w:val="en-US" w:eastAsia="zh-CN"/>
        </w:rPr>
        <w:t>-2021</w:t>
      </w:r>
      <w:r>
        <w:rPr>
          <w:rFonts w:hint="eastAsia" w:ascii="仿宋_GB2312" w:eastAsia="仿宋_GB2312"/>
          <w:bCs/>
          <w:color w:val="000000"/>
          <w:kern w:val="2"/>
          <w:sz w:val="32"/>
          <w:szCs w:val="32"/>
          <w:lang w:eastAsia="zh-CN"/>
        </w:rPr>
        <w:t>，牙科学 喷砂手机和喷砂粉</w:t>
      </w:r>
      <w:r>
        <w:rPr>
          <w:rFonts w:hint="eastAsia" w:ascii="仿宋_GB2312" w:eastAsia="仿宋_GB2312"/>
          <w:bCs/>
          <w:color w:val="000000"/>
          <w:sz w:val="32"/>
          <w:szCs w:val="32"/>
        </w:rPr>
        <w:t>[S]</w:t>
      </w:r>
      <w:r>
        <w:rPr>
          <w:rFonts w:hint="eastAsia" w:ascii="仿宋_GB2312" w:hAnsi="Times New Roman" w:eastAsia="仿宋_GB2312" w:cs="Times New Roman"/>
          <w:bCs/>
          <w:color w:val="000000"/>
          <w:sz w:val="32"/>
          <w:szCs w:val="32"/>
          <w:lang w:val="en-US" w:eastAsia="zh-CN"/>
        </w:rPr>
        <w:t>.</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w:t>
      </w:r>
      <w:r>
        <w:rPr>
          <w:rFonts w:hint="eastAsia" w:ascii="仿宋_GB2312" w:hAnsi="Times New Roman" w:eastAsia="仿宋_GB2312" w:cs="Times New Roman"/>
          <w:bCs/>
          <w:color w:val="000000"/>
          <w:sz w:val="32"/>
          <w:szCs w:val="32"/>
          <w:lang w:eastAsia="zh-CN"/>
        </w:rPr>
        <w:t>9</w:t>
      </w:r>
      <w:r>
        <w:rPr>
          <w:rFonts w:hint="eastAsia" w:ascii="仿宋_GB2312" w:eastAsia="仿宋_GB2312"/>
          <w:bCs/>
          <w:color w:val="000000"/>
          <w:sz w:val="32"/>
          <w:szCs w:val="32"/>
        </w:rPr>
        <w:t>]《医疗器械监督管理条例》（国务院令第</w:t>
      </w:r>
      <w:r>
        <w:rPr>
          <w:rFonts w:hint="eastAsia" w:ascii="仿宋_GB2312" w:eastAsia="仿宋_GB2312"/>
          <w:bCs/>
          <w:color w:val="000000"/>
          <w:sz w:val="32"/>
          <w:szCs w:val="32"/>
          <w:lang w:val="en-US" w:eastAsia="zh-CN"/>
        </w:rPr>
        <w:t>739</w:t>
      </w:r>
      <w:r>
        <w:rPr>
          <w:rFonts w:hint="eastAsia" w:ascii="仿宋_GB2312" w:eastAsia="仿宋_GB2312"/>
          <w:bCs/>
          <w:color w:val="000000"/>
          <w:sz w:val="32"/>
          <w:szCs w:val="32"/>
        </w:rPr>
        <w:t>号）[Z].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0</w:t>
      </w:r>
      <w:r>
        <w:rPr>
          <w:rFonts w:hint="eastAsia" w:ascii="仿宋_GB2312" w:eastAsia="仿宋_GB2312"/>
          <w:bCs/>
          <w:color w:val="000000"/>
          <w:sz w:val="32"/>
          <w:szCs w:val="32"/>
        </w:rPr>
        <w:t>]</w:t>
      </w:r>
      <w:r>
        <w:rPr>
          <w:rFonts w:hint="eastAsia" w:ascii="仿宋_GB2312" w:eastAsia="仿宋_GB2312"/>
          <w:bCs/>
          <w:color w:val="000000"/>
          <w:sz w:val="32"/>
          <w:szCs w:val="32"/>
          <w:lang w:eastAsia="zh-CN"/>
        </w:rPr>
        <w:t>《医疗器械注册与备案管理办法》（国家市场监督管理总局令第47号）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1</w:t>
      </w:r>
      <w:r>
        <w:rPr>
          <w:rFonts w:hint="eastAsia" w:ascii="仿宋_GB2312" w:eastAsia="仿宋_GB2312"/>
          <w:bCs/>
          <w:color w:val="000000"/>
          <w:sz w:val="32"/>
          <w:szCs w:val="32"/>
        </w:rPr>
        <w:t>]《医疗器械临床试验质量管理规范》（国家食品药品监督管理总局 中华人民共和国国家卫生和计划生育委员会令第25号）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2</w:t>
      </w:r>
      <w:r>
        <w:rPr>
          <w:rFonts w:hint="eastAsia" w:ascii="仿宋_GB2312" w:eastAsia="仿宋_GB2312"/>
          <w:bCs/>
          <w:color w:val="000000"/>
          <w:sz w:val="32"/>
          <w:szCs w:val="32"/>
        </w:rPr>
        <w:t>]《医疗器械说明书和标签管理规定》（国家食品药品监督管理总局令第6号）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3</w:t>
      </w:r>
      <w:r>
        <w:rPr>
          <w:rFonts w:hint="eastAsia" w:ascii="仿宋_GB2312" w:eastAsia="仿宋_GB2312"/>
          <w:bCs/>
          <w:color w:val="000000"/>
          <w:sz w:val="32"/>
          <w:szCs w:val="32"/>
        </w:rPr>
        <w:t>]《医疗器械通用名称命名规则》（国家食品药品监督管理总局令第19号）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4</w:t>
      </w:r>
      <w:r>
        <w:rPr>
          <w:rFonts w:hint="eastAsia" w:ascii="仿宋_GB2312" w:eastAsia="仿宋_GB2312"/>
          <w:bCs/>
          <w:color w:val="000000"/>
          <w:sz w:val="32"/>
          <w:szCs w:val="32"/>
        </w:rPr>
        <w:t>]《医疗器械临床评价技术指导原则》（国家食品药品监督管理总局通告2015年第14号）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5</w:t>
      </w:r>
      <w:r>
        <w:rPr>
          <w:rFonts w:hint="eastAsia" w:ascii="仿宋_GB2312" w:eastAsia="仿宋_GB2312"/>
          <w:bCs/>
          <w:color w:val="000000"/>
          <w:sz w:val="32"/>
          <w:szCs w:val="32"/>
        </w:rPr>
        <w:t>]《医疗器械生物学评价和审查指南》（国食药监械〔2007〕345号）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6</w:t>
      </w:r>
      <w:r>
        <w:rPr>
          <w:rFonts w:hint="eastAsia" w:ascii="仿宋_GB2312" w:eastAsia="仿宋_GB2312"/>
          <w:bCs/>
          <w:color w:val="000000"/>
          <w:sz w:val="32"/>
          <w:szCs w:val="32"/>
        </w:rPr>
        <w:t>]</w:t>
      </w:r>
      <w:r>
        <w:rPr>
          <w:rFonts w:hint="eastAsia" w:ascii="仿宋_GB2312" w:eastAsia="仿宋_GB2312"/>
          <w:bCs/>
          <w:color w:val="000000"/>
          <w:sz w:val="32"/>
          <w:szCs w:val="32"/>
          <w:lang w:eastAsia="zh-CN"/>
        </w:rPr>
        <w:t>《国家药监局关于发布免于临床评价医疗器械目录的通告》（</w:t>
      </w:r>
      <w:r>
        <w:rPr>
          <w:rFonts w:hint="eastAsia" w:ascii="仿宋_GB2312" w:eastAsia="仿宋_GB2312"/>
          <w:bCs/>
          <w:color w:val="000000"/>
          <w:sz w:val="32"/>
          <w:szCs w:val="32"/>
        </w:rPr>
        <w:t>国家药品监督管理局通告</w:t>
      </w:r>
      <w:r>
        <w:rPr>
          <w:rFonts w:hint="eastAsia" w:ascii="仿宋_GB2312" w:eastAsia="仿宋_GB2312"/>
          <w:bCs/>
          <w:color w:val="000000"/>
          <w:sz w:val="32"/>
          <w:szCs w:val="32"/>
          <w:lang w:eastAsia="zh-CN"/>
        </w:rPr>
        <w:t>2021年第71号）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7</w:t>
      </w:r>
      <w:r>
        <w:rPr>
          <w:rFonts w:hint="eastAsia" w:ascii="仿宋_GB2312" w:eastAsia="仿宋_GB2312"/>
          <w:bCs/>
          <w:color w:val="000000"/>
          <w:sz w:val="32"/>
          <w:szCs w:val="32"/>
        </w:rPr>
        <w:t>]《医疗器械注册单元划分指导原则》（国家食品药品监督管理总局通告2017年第187号）</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hAnsi="Times New Roman" w:eastAsia="仿宋_GB2312" w:cs="Times New Roman"/>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8</w:t>
      </w:r>
      <w:r>
        <w:rPr>
          <w:rFonts w:hint="eastAsia" w:ascii="仿宋_GB2312" w:eastAsia="仿宋_GB2312"/>
          <w:bCs/>
          <w:color w:val="000000"/>
          <w:sz w:val="32"/>
          <w:szCs w:val="32"/>
        </w:rPr>
        <w:t>]《医疗器械生物学评价和审查指南》（国家食品药品监督管理局 国食药监械〔2007〕345号通知）</w:t>
      </w:r>
      <w:r>
        <w:rPr>
          <w:rFonts w:hint="eastAsia" w:ascii="仿宋_GB2312" w:hAnsi="Times New Roman" w:eastAsia="仿宋_GB2312" w:cs="Times New Roman"/>
          <w:bCs/>
          <w:color w:val="000000"/>
          <w:sz w:val="32"/>
          <w:szCs w:val="32"/>
        </w:rPr>
        <w:t>[Z].</w:t>
      </w:r>
    </w:p>
    <w:p>
      <w:pPr>
        <w:spacing w:line="360" w:lineRule="auto"/>
        <w:ind w:right="0" w:rightChars="0" w:firstLine="640" w:firstLineChars="200"/>
        <w:rPr>
          <w:rFonts w:hint="eastAsia" w:ascii="仿宋_GB2312" w:eastAsia="仿宋_GB2312"/>
          <w:bCs/>
          <w:color w:val="000000"/>
          <w:sz w:val="32"/>
          <w:szCs w:val="32"/>
        </w:rPr>
      </w:pPr>
      <w:r>
        <w:rPr>
          <w:rFonts w:hint="eastAsia" w:ascii="仿宋_GB2312" w:eastAsia="仿宋_GB2312"/>
          <w:bCs/>
          <w:color w:val="000000"/>
          <w:sz w:val="32"/>
          <w:szCs w:val="32"/>
        </w:rPr>
        <w:t>[1</w:t>
      </w:r>
      <w:r>
        <w:rPr>
          <w:rFonts w:hint="eastAsia" w:ascii="仿宋_GB2312" w:hAnsi="Times New Roman" w:eastAsia="仿宋_GB2312" w:cs="Times New Roman"/>
          <w:bCs/>
          <w:color w:val="000000"/>
          <w:sz w:val="32"/>
          <w:szCs w:val="32"/>
          <w:lang w:val="en-US" w:eastAsia="zh-CN"/>
        </w:rPr>
        <w:t>9</w:t>
      </w:r>
      <w:r>
        <w:rPr>
          <w:rFonts w:hint="eastAsia" w:ascii="仿宋_GB2312" w:eastAsia="仿宋_GB2312"/>
          <w:bCs/>
          <w:color w:val="000000"/>
          <w:sz w:val="32"/>
          <w:szCs w:val="32"/>
        </w:rPr>
        <w:t>]《医疗器械注册申报资料要求和批准证明文件格式》（国家食品药品监督管理总局公告2014年第43号）</w:t>
      </w:r>
      <w:r>
        <w:rPr>
          <w:rFonts w:hint="eastAsia" w:ascii="仿宋_GB2312" w:hAnsi="Times New Roman" w:eastAsia="仿宋_GB2312" w:cs="Times New Roman"/>
          <w:bCs/>
          <w:color w:val="000000"/>
          <w:sz w:val="32"/>
          <w:szCs w:val="32"/>
        </w:rPr>
        <w:t>[Z].</w:t>
      </w:r>
    </w:p>
    <w:p>
      <w:pPr>
        <w:spacing w:line="360" w:lineRule="auto"/>
        <w:ind w:right="-67" w:rightChars="-32" w:firstLine="640" w:firstLineChars="200"/>
        <w:rPr>
          <w:rFonts w:hint="eastAsia" w:eastAsia="黑体"/>
          <w:color w:val="000000"/>
          <w:sz w:val="32"/>
          <w:szCs w:val="32"/>
        </w:rPr>
      </w:pPr>
      <w:r>
        <w:rPr>
          <w:rFonts w:hint="eastAsia" w:eastAsia="黑体"/>
          <w:color w:val="000000"/>
          <w:sz w:val="32"/>
          <w:szCs w:val="32"/>
          <w:lang w:val="en-US" w:eastAsia="zh-CN"/>
        </w:rPr>
        <w:t>五</w:t>
      </w:r>
      <w:r>
        <w:rPr>
          <w:rFonts w:eastAsia="黑体"/>
          <w:color w:val="000000"/>
          <w:sz w:val="32"/>
          <w:szCs w:val="32"/>
        </w:rPr>
        <w:t>、</w:t>
      </w:r>
      <w:r>
        <w:rPr>
          <w:rFonts w:hint="eastAsia" w:eastAsia="黑体"/>
          <w:color w:val="000000"/>
          <w:sz w:val="32"/>
          <w:szCs w:val="32"/>
        </w:rPr>
        <w:t>编写单位</w:t>
      </w: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r>
        <w:rPr>
          <w:rFonts w:hint="default" w:eastAsia="仿宋_GB2312"/>
          <w:color w:val="000000"/>
          <w:sz w:val="32"/>
          <w:szCs w:val="32"/>
          <w:lang w:val="en-US" w:eastAsia="ar-SA"/>
        </w:rPr>
        <w:t>广西壮族自治区食品药品审评查验中心</w:t>
      </w: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widowControl/>
        <w:numPr>
          <w:ilvl w:val="-1"/>
          <w:numId w:val="0"/>
        </w:numPr>
        <w:spacing w:line="360" w:lineRule="auto"/>
        <w:ind w:left="0" w:right="0" w:rightChars="0" w:firstLine="640" w:firstLineChars="200"/>
        <w:rPr>
          <w:rFonts w:hint="default" w:eastAsia="仿宋_GB2312"/>
          <w:color w:val="000000"/>
          <w:sz w:val="32"/>
          <w:szCs w:val="32"/>
          <w:lang w:val="en-US" w:eastAsia="ar-SA"/>
        </w:rPr>
      </w:pPr>
    </w:p>
    <w:p>
      <w:pPr>
        <w:numPr>
          <w:ilvl w:val="-1"/>
          <w:numId w:val="0"/>
        </w:numPr>
        <w:spacing w:line="360" w:lineRule="auto"/>
        <w:ind w:left="0" w:leftChars="0" w:right="-67" w:rightChars="-32" w:firstLine="640" w:firstLineChars="200"/>
        <w:rPr>
          <w:rFonts w:hint="eastAsia" w:ascii="黑体" w:hAnsi="黑体" w:eastAsia="黑体"/>
          <w:bCs/>
          <w:color w:val="000000"/>
          <w:sz w:val="32"/>
          <w:szCs w:val="32"/>
        </w:rPr>
      </w:pPr>
      <w:r>
        <w:rPr>
          <w:rFonts w:hint="eastAsia" w:ascii="黑体" w:hAnsi="黑体" w:eastAsia="黑体" w:cs="仿宋"/>
          <w:bCs/>
          <w:color w:val="000000"/>
          <w:sz w:val="32"/>
          <w:szCs w:val="32"/>
        </w:rPr>
        <w:t>附录</w:t>
      </w:r>
    </w:p>
    <w:p>
      <w:pPr>
        <w:numPr>
          <w:ilvl w:val="-1"/>
          <w:numId w:val="0"/>
        </w:numPr>
        <w:spacing w:line="360" w:lineRule="auto"/>
        <w:ind w:left="0" w:leftChars="0" w:right="-67" w:rightChars="-32" w:firstLine="640" w:firstLineChars="200"/>
        <w:rPr>
          <w:rFonts w:hint="eastAsia" w:ascii="黑体" w:hAnsi="黑体" w:eastAsia="黑体"/>
          <w:bCs/>
          <w:color w:val="000000"/>
          <w:sz w:val="32"/>
          <w:szCs w:val="32"/>
        </w:rPr>
      </w:pPr>
    </w:p>
    <w:p>
      <w:pPr>
        <w:spacing w:line="360" w:lineRule="auto"/>
        <w:jc w:val="center"/>
        <w:rPr>
          <w:rFonts w:hint="eastAsia" w:ascii="方正小标宋简体" w:eastAsia="方正小标宋简体"/>
          <w:color w:val="000000"/>
          <w:kern w:val="0"/>
          <w:sz w:val="44"/>
          <w:szCs w:val="44"/>
        </w:rPr>
      </w:pPr>
      <w:bookmarkStart w:id="3" w:name="_Toc433873358"/>
      <w:r>
        <w:rPr>
          <w:rFonts w:hint="eastAsia" w:ascii="方正小标宋简体" w:eastAsia="方正小标宋简体"/>
          <w:color w:val="000000"/>
          <w:kern w:val="0"/>
          <w:sz w:val="44"/>
          <w:szCs w:val="44"/>
          <w:lang w:val="en-US" w:eastAsia="zh-CN"/>
        </w:rPr>
        <w:t>牙科喷砂粉</w:t>
      </w:r>
      <w:r>
        <w:rPr>
          <w:rFonts w:hint="eastAsia" w:ascii="方正小标宋简体" w:eastAsia="方正小标宋简体"/>
          <w:color w:val="000000"/>
          <w:kern w:val="0"/>
          <w:sz w:val="44"/>
          <w:szCs w:val="44"/>
        </w:rPr>
        <w:t>产品风险管理资料</w:t>
      </w:r>
      <w:bookmarkEnd w:id="3"/>
      <w:r>
        <w:rPr>
          <w:rFonts w:hint="eastAsia" w:ascii="方正小标宋简体" w:eastAsia="方正小标宋简体"/>
          <w:color w:val="000000"/>
          <w:kern w:val="0"/>
          <w:sz w:val="44"/>
          <w:szCs w:val="44"/>
        </w:rPr>
        <w:t>关注点</w:t>
      </w:r>
    </w:p>
    <w:p>
      <w:pPr>
        <w:spacing w:line="360" w:lineRule="auto"/>
        <w:jc w:val="center"/>
        <w:rPr>
          <w:rFonts w:hint="eastAsia" w:eastAsia="仿宋_GB2312"/>
          <w:color w:val="000000"/>
          <w:sz w:val="32"/>
          <w:szCs w:val="32"/>
        </w:rPr>
      </w:pPr>
    </w:p>
    <w:p>
      <w:pPr>
        <w:spacing w:line="360" w:lineRule="auto"/>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下表为牙科喷砂粉的主要危害举例，供参考，申请人应根据申报产品具体预期用途和与安全性有关特征编写风险管理报告。</w:t>
      </w:r>
    </w:p>
    <w:p>
      <w:pPr>
        <w:spacing w:line="360" w:lineRule="auto"/>
        <w:ind w:firstLine="640" w:firstLineChars="200"/>
        <w:rPr>
          <w:rStyle w:val="8"/>
          <w:rFonts w:eastAsia="黑体"/>
          <w:bCs/>
          <w:color w:val="000000" w:themeColor="text1"/>
          <w:sz w:val="28"/>
          <w:szCs w:val="28"/>
          <w14:textFill>
            <w14:solidFill>
              <w14:schemeClr w14:val="tx1"/>
            </w14:solidFill>
          </w14:textFill>
        </w:rPr>
      </w:pPr>
      <w:r>
        <w:rPr>
          <w:rStyle w:val="8"/>
          <w:rFonts w:eastAsia="仿宋_GB2312"/>
          <w:bCs/>
          <w:color w:val="000000" w:themeColor="text1"/>
          <w:sz w:val="32"/>
          <w:szCs w:val="32"/>
          <w14:textFill>
            <w14:solidFill>
              <w14:schemeClr w14:val="tx1"/>
            </w14:solidFill>
          </w14:textFill>
        </w:rPr>
        <w:tab/>
      </w:r>
    </w:p>
    <w:tbl>
      <w:tblPr>
        <w:tblStyle w:val="5"/>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193"/>
        <w:gridCol w:w="3311"/>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4" w:type="dxa"/>
            <w:gridSpan w:val="2"/>
            <w:vAlign w:val="center"/>
          </w:tcPr>
          <w:p>
            <w:pPr>
              <w:spacing w:line="360" w:lineRule="auto"/>
              <w:ind w:right="-67" w:rightChars="-32"/>
              <w:jc w:val="center"/>
              <w:rPr>
                <w:rFonts w:eastAsia="黑体"/>
                <w:bCs/>
                <w:color w:val="000000" w:themeColor="text1"/>
                <w:sz w:val="28"/>
                <w:szCs w:val="28"/>
                <w14:textFill>
                  <w14:solidFill>
                    <w14:schemeClr w14:val="tx1"/>
                  </w14:solidFill>
                </w14:textFill>
              </w:rPr>
            </w:pPr>
            <w:r>
              <w:rPr>
                <w:rFonts w:eastAsia="黑体"/>
                <w:bCs/>
                <w:color w:val="000000" w:themeColor="text1"/>
                <w:sz w:val="28"/>
                <w:szCs w:val="28"/>
                <w14:textFill>
                  <w14:solidFill>
                    <w14:schemeClr w14:val="tx1"/>
                  </w14:solidFill>
                </w14:textFill>
              </w:rPr>
              <w:t>危害类型</w:t>
            </w:r>
          </w:p>
        </w:tc>
        <w:tc>
          <w:tcPr>
            <w:tcW w:w="3311" w:type="dxa"/>
            <w:vAlign w:val="center"/>
          </w:tcPr>
          <w:p>
            <w:pPr>
              <w:spacing w:line="360" w:lineRule="auto"/>
              <w:ind w:right="-67" w:rightChars="-32"/>
              <w:jc w:val="center"/>
              <w:rPr>
                <w:rFonts w:eastAsia="黑体"/>
                <w:bCs/>
                <w:color w:val="000000" w:themeColor="text1"/>
                <w:sz w:val="28"/>
                <w:szCs w:val="28"/>
                <w14:textFill>
                  <w14:solidFill>
                    <w14:schemeClr w14:val="tx1"/>
                  </w14:solidFill>
                </w14:textFill>
              </w:rPr>
            </w:pPr>
            <w:r>
              <w:rPr>
                <w:rFonts w:eastAsia="黑体"/>
                <w:bCs/>
                <w:color w:val="000000" w:themeColor="text1"/>
                <w:sz w:val="28"/>
                <w:szCs w:val="28"/>
                <w14:textFill>
                  <w14:solidFill>
                    <w14:schemeClr w14:val="tx1"/>
                  </w14:solidFill>
                </w14:textFill>
              </w:rPr>
              <w:t>可预见的事件序列</w:t>
            </w:r>
          </w:p>
        </w:tc>
        <w:tc>
          <w:tcPr>
            <w:tcW w:w="2449" w:type="dxa"/>
            <w:vAlign w:val="center"/>
          </w:tcPr>
          <w:p>
            <w:pPr>
              <w:spacing w:line="360" w:lineRule="auto"/>
              <w:ind w:right="-67" w:rightChars="-32"/>
              <w:jc w:val="center"/>
              <w:rPr>
                <w:rFonts w:eastAsia="黑体"/>
                <w:bCs/>
                <w:color w:val="000000" w:themeColor="text1"/>
                <w:sz w:val="28"/>
                <w:szCs w:val="28"/>
                <w14:textFill>
                  <w14:solidFill>
                    <w14:schemeClr w14:val="tx1"/>
                  </w14:solidFill>
                </w14:textFill>
              </w:rPr>
            </w:pPr>
            <w:r>
              <w:rPr>
                <w:rFonts w:eastAsia="黑体"/>
                <w:bCs/>
                <w:color w:val="000000" w:themeColor="text1"/>
                <w:sz w:val="28"/>
                <w:szCs w:val="28"/>
                <w14:textFill>
                  <w14:solidFill>
                    <w14:schemeClr w14:val="tx1"/>
                  </w14:solidFill>
                </w14:textFill>
              </w:rPr>
              <w:t>可能产生的危害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4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hint="eastAsia" w:eastAsia="仿宋_GB2312"/>
                <w:bCs/>
                <w:color w:val="000000" w:themeColor="text1"/>
                <w:sz w:val="28"/>
                <w:szCs w:val="28"/>
                <w14:textFill>
                  <w14:solidFill>
                    <w14:schemeClr w14:val="tx1"/>
                  </w14:solidFill>
                </w14:textFill>
              </w:rPr>
              <w:t>生物学危害</w:t>
            </w: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生物相容性</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采用了不合格原辅材料；生产引入了外来物质</w:t>
            </w:r>
          </w:p>
        </w:tc>
        <w:tc>
          <w:tcPr>
            <w:tcW w:w="2449" w:type="dxa"/>
            <w:vAlign w:val="center"/>
          </w:tcPr>
          <w:p>
            <w:pPr>
              <w:spacing w:line="360" w:lineRule="auto"/>
              <w:ind w:right="-67" w:rightChars="-32"/>
              <w:rPr>
                <w:color w:val="000000" w:themeColor="text1"/>
                <w14:textFill>
                  <w14:solidFill>
                    <w14:schemeClr w14:val="tx1"/>
                  </w14:solidFill>
                </w14:textFill>
              </w:rPr>
            </w:pPr>
            <w:r>
              <w:rPr>
                <w:rFonts w:eastAsia="仿宋_GB2312"/>
                <w:bCs/>
                <w:color w:val="000000" w:themeColor="text1"/>
                <w:sz w:val="28"/>
                <w:szCs w:val="28"/>
                <w14:textFill>
                  <w14:solidFill>
                    <w14:schemeClr w14:val="tx1"/>
                  </w14:solidFill>
                </w14:textFill>
              </w:rPr>
              <w:t xml:space="preserve">产生毒性 </w:t>
            </w:r>
          </w:p>
          <w:p>
            <w:pPr>
              <w:pStyle w:val="3"/>
              <w:spacing w:line="360" w:lineRule="auto"/>
              <w:rPr>
                <w:rFonts w:hint="default" w:eastAsia="仿宋_GB2312"/>
                <w:bCs/>
                <w:color w:val="000000" w:themeColor="text1"/>
                <w:sz w:val="28"/>
                <w:szCs w:val="28"/>
                <w:lang w:val="en-US" w:eastAsia="zh-CN"/>
                <w14:textFill>
                  <w14:solidFill>
                    <w14:schemeClr w14:val="tx1"/>
                  </w14:solidFill>
                </w14:textFill>
              </w:rPr>
            </w:pPr>
            <w:r>
              <w:rPr>
                <w:rFonts w:hint="eastAsia" w:eastAsia="仿宋_GB2312"/>
                <w:bCs/>
                <w:color w:val="000000" w:themeColor="text1"/>
                <w:sz w:val="28"/>
                <w:szCs w:val="28"/>
                <w:lang w:val="en-US" w:eastAsia="zh-CN"/>
                <w14:textFill>
                  <w14:solidFill>
                    <w14:schemeClr w14:val="tx1"/>
                  </w14:solidFill>
                </w14:textFill>
              </w:rPr>
              <w:t>对</w:t>
            </w:r>
            <w:r>
              <w:rPr>
                <w:rFonts w:hint="default" w:eastAsia="仿宋_GB2312"/>
                <w:bCs/>
                <w:color w:val="000000" w:themeColor="text1"/>
                <w:sz w:val="28"/>
                <w:szCs w:val="28"/>
                <w:lang w:val="en-US" w:eastAsia="zh-CN"/>
                <w14:textFill>
                  <w14:solidFill>
                    <w14:schemeClr w14:val="tx1"/>
                  </w14:solidFill>
                </w14:textFill>
              </w:rPr>
              <w:t>口腔黏膜造成刺激</w:t>
            </w:r>
            <w:r>
              <w:rPr>
                <w:rFonts w:hint="eastAsia" w:eastAsia="仿宋_GB2312"/>
                <w:bCs/>
                <w:color w:val="000000" w:themeColor="text1"/>
                <w:sz w:val="28"/>
                <w:szCs w:val="28"/>
                <w:lang w:val="en-US" w:eastAsia="zh-CN"/>
                <w14:textFill>
                  <w14:solidFill>
                    <w14:schemeClr w14:val="tx1"/>
                  </w14:solidFill>
                </w14:textFill>
              </w:rPr>
              <w:t>或导致过敏</w:t>
            </w:r>
          </w:p>
          <w:p>
            <w:pPr>
              <w:spacing w:line="360" w:lineRule="auto"/>
              <w:ind w:right="-67" w:rightChars="-3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vMerge w:val="restart"/>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操作</w:t>
            </w:r>
          </w:p>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危害</w:t>
            </w: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由不熟练/未经培训的人员使用</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操作不熟练、操作失误</w:t>
            </w:r>
            <w:r>
              <w:rPr>
                <w:rFonts w:hint="eastAsia" w:eastAsia="仿宋_GB2312"/>
                <w:bCs/>
                <w:color w:val="000000" w:themeColor="text1"/>
                <w:sz w:val="28"/>
                <w:szCs w:val="28"/>
                <w:lang w:eastAsia="zh-CN"/>
                <w14:textFill>
                  <w14:solidFill>
                    <w14:schemeClr w14:val="tx1"/>
                  </w14:solidFill>
                </w14:textFill>
              </w:rPr>
              <w:t>、吸入鼻腔</w:t>
            </w:r>
          </w:p>
        </w:tc>
        <w:tc>
          <w:tcPr>
            <w:tcW w:w="2449" w:type="dxa"/>
            <w:vAlign w:val="center"/>
          </w:tcPr>
          <w:p>
            <w:pPr>
              <w:spacing w:line="360" w:lineRule="auto"/>
              <w:ind w:right="-67" w:rightChars="-32"/>
              <w:rPr>
                <w:rFonts w:hint="eastAsia"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对</w:t>
            </w:r>
            <w:r>
              <w:rPr>
                <w:rFonts w:hint="eastAsia" w:eastAsia="仿宋_GB2312"/>
                <w:bCs/>
                <w:color w:val="000000" w:themeColor="text1"/>
                <w:sz w:val="28"/>
                <w:szCs w:val="28"/>
                <w:lang w:eastAsia="zh-CN"/>
                <w14:textFill>
                  <w14:solidFill>
                    <w14:schemeClr w14:val="tx1"/>
                  </w14:solidFill>
                </w14:textFill>
              </w:rPr>
              <w:t>牙齿、口腔</w:t>
            </w:r>
            <w:r>
              <w:rPr>
                <w:rFonts w:eastAsia="仿宋_GB2312"/>
                <w:bCs/>
                <w:color w:val="000000" w:themeColor="text1"/>
                <w:sz w:val="28"/>
                <w:szCs w:val="28"/>
                <w14:textFill>
                  <w14:solidFill>
                    <w14:schemeClr w14:val="tx1"/>
                  </w14:solidFill>
                </w14:textFill>
              </w:rPr>
              <w:t>粘膜</w:t>
            </w:r>
            <w:r>
              <w:rPr>
                <w:rFonts w:hint="eastAsia" w:eastAsia="仿宋_GB2312"/>
                <w:bCs/>
                <w:color w:val="000000" w:themeColor="text1"/>
                <w:sz w:val="28"/>
                <w:szCs w:val="28"/>
                <w14:textFill>
                  <w14:solidFill>
                    <w14:schemeClr w14:val="tx1"/>
                  </w14:solidFill>
                </w14:textFill>
              </w:rPr>
              <w:t>造成损伤；延误</w:t>
            </w:r>
            <w:r>
              <w:rPr>
                <w:rFonts w:hint="eastAsia" w:eastAsia="仿宋_GB2312"/>
                <w:bCs/>
                <w:color w:val="000000" w:themeColor="text1"/>
                <w:sz w:val="28"/>
                <w:szCs w:val="28"/>
                <w:lang w:eastAsia="zh-CN"/>
                <w14:textFill>
                  <w14:solidFill>
                    <w14:schemeClr w14:val="tx1"/>
                  </w14:solidFill>
                </w14:textFill>
              </w:rPr>
              <w:t>治疗；刺激呼吸道。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1041" w:type="dxa"/>
            <w:vMerge w:val="continue"/>
            <w:vAlign w:val="center"/>
          </w:tcPr>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使用产品时未按照说明书中操作方法操作</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错误操作</w:t>
            </w:r>
          </w:p>
        </w:tc>
        <w:tc>
          <w:tcPr>
            <w:tcW w:w="2449"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对</w:t>
            </w:r>
            <w:r>
              <w:rPr>
                <w:rFonts w:hint="eastAsia" w:eastAsia="仿宋_GB2312"/>
                <w:bCs/>
                <w:color w:val="000000" w:themeColor="text1"/>
                <w:sz w:val="28"/>
                <w:szCs w:val="28"/>
                <w:lang w:eastAsia="zh-CN"/>
                <w14:textFill>
                  <w14:solidFill>
                    <w14:schemeClr w14:val="tx1"/>
                  </w14:solidFill>
                </w14:textFill>
              </w:rPr>
              <w:t>牙齿、口腔</w:t>
            </w:r>
            <w:r>
              <w:rPr>
                <w:rFonts w:eastAsia="仿宋_GB2312"/>
                <w:bCs/>
                <w:color w:val="000000" w:themeColor="text1"/>
                <w:sz w:val="28"/>
                <w:szCs w:val="28"/>
                <w14:textFill>
                  <w14:solidFill>
                    <w14:schemeClr w14:val="tx1"/>
                  </w14:solidFill>
                </w14:textFill>
              </w:rPr>
              <w:t>粘膜</w:t>
            </w:r>
            <w:r>
              <w:rPr>
                <w:rFonts w:hint="eastAsia" w:eastAsia="仿宋_GB2312"/>
                <w:bCs/>
                <w:color w:val="000000" w:themeColor="text1"/>
                <w:sz w:val="28"/>
                <w:szCs w:val="28"/>
                <w14:textFill>
                  <w14:solidFill>
                    <w14:schemeClr w14:val="tx1"/>
                  </w14:solidFill>
                </w14:textFill>
              </w:rPr>
              <w:t>造成损伤；延误治疗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1041" w:type="dxa"/>
            <w:vMerge w:val="continue"/>
            <w:vAlign w:val="center"/>
          </w:tcPr>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忽视说明书中禁忌症、警示信息等内容</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患者在使用过程中出现过敏</w:t>
            </w:r>
          </w:p>
        </w:tc>
        <w:tc>
          <w:tcPr>
            <w:tcW w:w="2449"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引起不适用患者感染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vMerge w:val="restart"/>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信息</w:t>
            </w:r>
          </w:p>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危害</w:t>
            </w:r>
          </w:p>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不正确的标签</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外部标记不全面、标记不正确或不能够清楚易认</w:t>
            </w:r>
          </w:p>
        </w:tc>
        <w:tc>
          <w:tcPr>
            <w:tcW w:w="2449"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错误使用；储存错误；</w:t>
            </w:r>
          </w:p>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jc w:val="center"/>
        </w:trPr>
        <w:tc>
          <w:tcPr>
            <w:tcW w:w="1041" w:type="dxa"/>
            <w:vMerge w:val="continue"/>
            <w:vAlign w:val="center"/>
          </w:tcPr>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不正确的说明书</w:t>
            </w:r>
          </w:p>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说明书上的注意事项、禁忌症不全</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没有操作说明书或内容不全，如缺少详细的使用方法、必要的警告说明；使用前未检查产品包装状态</w:t>
            </w:r>
          </w:p>
        </w:tc>
        <w:tc>
          <w:tcPr>
            <w:tcW w:w="2449"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无法保证使用安全性</w:t>
            </w:r>
          </w:p>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导致操作失误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041" w:type="dxa"/>
            <w:vMerge w:val="continue"/>
            <w:vAlign w:val="center"/>
          </w:tcPr>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对医疗器械寿命终止缺少适当的决定</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没有标识产品有效期</w:t>
            </w:r>
          </w:p>
        </w:tc>
        <w:tc>
          <w:tcPr>
            <w:tcW w:w="2449"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超出有效期的产品被使用，或因材料老化产生而导致产品性能不符合要求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vMerge w:val="continue"/>
            <w:vAlign w:val="center"/>
          </w:tcPr>
          <w:p>
            <w:pPr>
              <w:spacing w:line="360" w:lineRule="auto"/>
              <w:ind w:right="-67" w:rightChars="-32"/>
              <w:rPr>
                <w:rFonts w:eastAsia="仿宋_GB2312"/>
                <w:bCs/>
                <w:color w:val="000000" w:themeColor="text1"/>
                <w:sz w:val="28"/>
                <w:szCs w:val="28"/>
                <w14:textFill>
                  <w14:solidFill>
                    <w14:schemeClr w14:val="tx1"/>
                  </w14:solidFill>
                </w14:textFill>
              </w:rPr>
            </w:pP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不适当的产品包装（产品污染和／或变性）</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eastAsia="仿宋_GB2312"/>
                <w:bCs/>
                <w:color w:val="000000" w:themeColor="text1"/>
                <w:sz w:val="28"/>
                <w:szCs w:val="28"/>
                <w14:textFill>
                  <w14:solidFill>
                    <w14:schemeClr w14:val="tx1"/>
                  </w14:solidFill>
                </w14:textFill>
              </w:rPr>
              <w:t>生产、运输、搬运和储存过程中导致包装破损；包装材料选择不适当</w:t>
            </w:r>
          </w:p>
        </w:tc>
        <w:tc>
          <w:tcPr>
            <w:tcW w:w="2449" w:type="dxa"/>
            <w:vAlign w:val="center"/>
          </w:tcPr>
          <w:p>
            <w:pPr>
              <w:spacing w:line="360" w:lineRule="auto"/>
              <w:ind w:right="-67" w:rightChars="-32"/>
              <w:rPr>
                <w:rFonts w:hint="default" w:eastAsia="仿宋_GB2312"/>
                <w:bCs/>
                <w:color w:val="000000" w:themeColor="text1"/>
                <w:sz w:val="28"/>
                <w:szCs w:val="28"/>
                <w:lang w:val="en-US"/>
                <w14:textFill>
                  <w14:solidFill>
                    <w14:schemeClr w14:val="tx1"/>
                  </w14:solidFill>
                </w14:textFill>
              </w:rPr>
            </w:pPr>
            <w:r>
              <w:rPr>
                <w:rFonts w:eastAsia="仿宋_GB2312"/>
                <w:bCs/>
                <w:color w:val="000000" w:themeColor="text1"/>
                <w:sz w:val="28"/>
                <w:szCs w:val="28"/>
                <w14:textFill>
                  <w14:solidFill>
                    <w14:schemeClr w14:val="tx1"/>
                  </w14:solidFill>
                </w14:textFill>
              </w:rPr>
              <w:t>产品使用性能无法得到保证，或对接触的人皮肤及粘膜造成</w:t>
            </w:r>
            <w:r>
              <w:rPr>
                <w:rFonts w:hint="eastAsia" w:eastAsia="仿宋_GB2312"/>
                <w:bCs/>
                <w:color w:val="000000" w:themeColor="text1"/>
                <w:sz w:val="28"/>
                <w:szCs w:val="28"/>
                <w:lang w:val="en-US" w:eastAsia="zh-CN"/>
                <w14:textFill>
                  <w14:solidFill>
                    <w14:schemeClr w14:val="tx1"/>
                  </w14:solidFill>
                </w14:textFill>
              </w:rPr>
              <w:t>刺激或过敏反应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vAlign w:val="center"/>
          </w:tcPr>
          <w:p>
            <w:pPr>
              <w:spacing w:line="360" w:lineRule="auto"/>
              <w:ind w:right="-67" w:rightChars="-32"/>
              <w:rPr>
                <w:rFonts w:hint="eastAsia" w:eastAsia="仿宋_GB2312"/>
                <w:bCs/>
                <w:color w:val="000000" w:themeColor="text1"/>
                <w:sz w:val="28"/>
                <w:szCs w:val="28"/>
                <w:lang w:eastAsia="zh-CN"/>
                <w14:textFill>
                  <w14:solidFill>
                    <w14:schemeClr w14:val="tx1"/>
                  </w14:solidFill>
                </w14:textFill>
              </w:rPr>
            </w:pPr>
            <w:r>
              <w:rPr>
                <w:rFonts w:hint="eastAsia" w:eastAsia="仿宋_GB2312"/>
                <w:bCs/>
                <w:color w:val="000000" w:themeColor="text1"/>
                <w:sz w:val="28"/>
                <w:szCs w:val="28"/>
                <w:lang w:eastAsia="zh-CN"/>
                <w14:textFill>
                  <w14:solidFill>
                    <w14:schemeClr w14:val="tx1"/>
                  </w14:solidFill>
                </w14:textFill>
              </w:rPr>
              <w:t>其他危害</w:t>
            </w:r>
          </w:p>
        </w:tc>
        <w:tc>
          <w:tcPr>
            <w:tcW w:w="2193"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hint="eastAsia" w:eastAsia="仿宋_GB2312"/>
                <w:bCs/>
                <w:color w:val="000000" w:themeColor="text1"/>
                <w:sz w:val="28"/>
                <w:szCs w:val="28"/>
                <w:lang w:eastAsia="zh-CN"/>
                <w14:textFill>
                  <w14:solidFill>
                    <w14:schemeClr w14:val="tx1"/>
                  </w14:solidFill>
                </w14:textFill>
              </w:rPr>
              <w:t>误食</w:t>
            </w:r>
          </w:p>
        </w:tc>
        <w:tc>
          <w:tcPr>
            <w:tcW w:w="3311" w:type="dxa"/>
            <w:vAlign w:val="center"/>
          </w:tcPr>
          <w:p>
            <w:pPr>
              <w:spacing w:line="360" w:lineRule="auto"/>
              <w:ind w:right="-67" w:rightChars="-32"/>
              <w:rPr>
                <w:rFonts w:eastAsia="仿宋_GB2312"/>
                <w:bCs/>
                <w:color w:val="000000" w:themeColor="text1"/>
                <w:sz w:val="28"/>
                <w:szCs w:val="28"/>
                <w14:textFill>
                  <w14:solidFill>
                    <w14:schemeClr w14:val="tx1"/>
                  </w14:solidFill>
                </w14:textFill>
              </w:rPr>
            </w:pPr>
            <w:r>
              <w:rPr>
                <w:rFonts w:hint="eastAsia" w:eastAsia="仿宋_GB2312"/>
                <w:bCs/>
                <w:color w:val="000000" w:themeColor="text1"/>
                <w:sz w:val="28"/>
                <w:szCs w:val="28"/>
                <w:lang w:val="en-US" w:eastAsia="zh-CN"/>
                <w14:textFill>
                  <w14:solidFill>
                    <w14:schemeClr w14:val="tx1"/>
                  </w14:solidFill>
                </w14:textFill>
              </w:rPr>
              <w:t>被患者过量误食</w:t>
            </w:r>
          </w:p>
        </w:tc>
        <w:tc>
          <w:tcPr>
            <w:tcW w:w="2449" w:type="dxa"/>
            <w:vAlign w:val="center"/>
          </w:tcPr>
          <w:p>
            <w:pPr>
              <w:spacing w:line="360" w:lineRule="auto"/>
              <w:ind w:right="-67" w:rightChars="-32"/>
              <w:rPr>
                <w:rFonts w:hint="default" w:eastAsia="仿宋_GB2312"/>
                <w:bCs/>
                <w:color w:val="000000" w:themeColor="text1"/>
                <w:sz w:val="28"/>
                <w:szCs w:val="28"/>
                <w:lang w:val="en-US" w:eastAsia="zh-CN"/>
                <w14:textFill>
                  <w14:solidFill>
                    <w14:schemeClr w14:val="tx1"/>
                  </w14:solidFill>
                </w14:textFill>
              </w:rPr>
            </w:pPr>
            <w:r>
              <w:rPr>
                <w:rFonts w:hint="eastAsia" w:eastAsia="仿宋_GB2312"/>
                <w:bCs/>
                <w:color w:val="000000" w:themeColor="text1"/>
                <w:sz w:val="28"/>
                <w:szCs w:val="28"/>
                <w:lang w:val="en-US" w:eastAsia="zh-CN"/>
                <w14:textFill>
                  <w14:solidFill>
                    <w14:schemeClr w14:val="tx1"/>
                  </w14:solidFill>
                </w14:textFill>
              </w:rPr>
              <w:t>造成患者中毒或不适</w:t>
            </w:r>
          </w:p>
        </w:tc>
      </w:tr>
    </w:tbl>
    <w:p>
      <w:pPr>
        <w:spacing w:line="360" w:lineRule="auto"/>
        <w:ind w:firstLine="640" w:firstLineChars="200"/>
      </w:pPr>
      <w:r>
        <w:rPr>
          <w:rStyle w:val="8"/>
          <w:rFonts w:eastAsia="仿宋_GB2312"/>
          <w:bCs/>
          <w:color w:val="000000" w:themeColor="text1"/>
          <w:sz w:val="32"/>
          <w:szCs w:val="32"/>
          <w14:textFill>
            <w14:solidFill>
              <w14:schemeClr w14:val="tx1"/>
            </w14:solidFill>
          </w14:textFill>
        </w:rPr>
        <w:t>企业还应根据自身产品特点确定其他危害，可通过产品设计控制、产品原材料选择、产品技术性能指标的制定、正确的标签标识、生产和检验控制、产品说明书等多项措施以降低风险至可接受水平。</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1002AFF" w:usb1="C0000002" w:usb2="00000008"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53CBC"/>
    <w:multiLevelType w:val="singleLevel"/>
    <w:tmpl w:val="81253CBC"/>
    <w:lvl w:ilvl="0" w:tentative="0">
      <w:start w:val="1"/>
      <w:numFmt w:val="decimal"/>
      <w:lvlText w:val="%1."/>
      <w:lvlJc w:val="left"/>
      <w:pPr>
        <w:tabs>
          <w:tab w:val="left" w:pos="312"/>
        </w:tabs>
        <w:ind w:left="840" w:leftChars="0" w:firstLine="0" w:firstLineChars="0"/>
      </w:pPr>
    </w:lvl>
  </w:abstractNum>
  <w:abstractNum w:abstractNumId="1">
    <w:nsid w:val="F5F019FF"/>
    <w:multiLevelType w:val="singleLevel"/>
    <w:tmpl w:val="F5F019FF"/>
    <w:lvl w:ilvl="0" w:tentative="0">
      <w:start w:val="2"/>
      <w:numFmt w:val="chineseCounting"/>
      <w:suff w:val="nothing"/>
      <w:lvlText w:val="（%1）"/>
      <w:lvlJc w:val="left"/>
      <w:rPr>
        <w:rFonts w:hint="eastAsia"/>
      </w:rPr>
    </w:lvl>
  </w:abstractNum>
  <w:abstractNum w:abstractNumId="2">
    <w:nsid w:val="7220BD69"/>
    <w:multiLevelType w:val="singleLevel"/>
    <w:tmpl w:val="7220BD69"/>
    <w:lvl w:ilvl="0" w:tentative="0">
      <w:start w:val="4"/>
      <w:numFmt w:val="chineseCounting"/>
      <w:suff w:val="nothing"/>
      <w:lvlText w:val="%1、"/>
      <w:lvlJc w:val="left"/>
      <w:rPr>
        <w:rFonts w:hint="eastAsia"/>
      </w:rPr>
    </w:lvl>
  </w:abstractNum>
  <w:abstractNum w:abstractNumId="3">
    <w:nsid w:val="7A089166"/>
    <w:multiLevelType w:val="singleLevel"/>
    <w:tmpl w:val="7A089166"/>
    <w:lvl w:ilvl="0" w:tentative="0">
      <w:start w:val="1"/>
      <w:numFmt w:val="decimal"/>
      <w:lvlText w:val="%1."/>
      <w:lvlJc w:val="left"/>
      <w:pPr>
        <w:tabs>
          <w:tab w:val="left" w:pos="312"/>
        </w:tabs>
        <w:ind w:left="740" w:leftChars="0" w:firstLine="0" w:firstLineChars="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1D0039"/>
    <w:rsid w:val="0A1D0039"/>
    <w:rsid w:val="3E0B22A0"/>
    <w:rsid w:val="53EE79DF"/>
    <w:rsid w:val="544F3A3C"/>
    <w:rsid w:val="6DD7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rPr>
      <w:sz w:val="24"/>
    </w:rPr>
  </w:style>
  <w:style w:type="paragraph" w:customStyle="1" w:styleId="7">
    <w:name w:val="王奕，内文"/>
    <w:basedOn w:val="4"/>
    <w:qFormat/>
    <w:uiPriority w:val="0"/>
    <w:pPr>
      <w:widowControl/>
      <w:spacing w:line="360" w:lineRule="auto"/>
      <w:ind w:firstLine="200" w:firstLineChars="200"/>
    </w:pPr>
    <w:rPr>
      <w:rFonts w:cs="MS Shell Dlg"/>
      <w:color w:val="000000"/>
      <w:kern w:val="0"/>
      <w:szCs w:val="20"/>
    </w:rPr>
  </w:style>
  <w:style w:type="character" w:customStyle="1" w:styleId="8">
    <w:name w:val="f101"/>
    <w:qFormat/>
    <w:uiPriority w:val="99"/>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2021-09-29T10:55:00Z</dcterms:created>
  <dc:creator>无名</dc:creator>
  <cp:lastModifiedBy>无名</cp:lastModifiedBy>
  <dcterms:modified xsi:type="dcterms:W3CDTF">2021-09-30T08:39:15Z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8448D16DC1F048BE829C2D02255CD0D2</vt:lpwstr>
  </property>
</Properties>
</file>